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90"/>
        </w:rPr>
        <w:t>MASTER</w:t>
      </w:r>
      <w:r>
        <w:rPr>
          <w:spacing w:val="23"/>
        </w:rPr>
        <w:t> </w:t>
      </w:r>
      <w:r>
        <w:rPr>
          <w:w w:val="90"/>
        </w:rPr>
        <w:t>SERVICES</w:t>
      </w:r>
      <w:r>
        <w:rPr>
          <w:spacing w:val="24"/>
        </w:rPr>
        <w:t> </w:t>
      </w:r>
      <w:r>
        <w:rPr>
          <w:spacing w:val="-2"/>
          <w:w w:val="90"/>
        </w:rPr>
        <w:t>AGREEMENT</w:t>
      </w:r>
    </w:p>
    <w:p>
      <w:pPr>
        <w:pStyle w:val="BodyText"/>
        <w:spacing w:before="187"/>
        <w:ind w:left="361" w:right="323"/>
      </w:pPr>
      <w:r>
        <w:rPr/>
        <w:t>Thi!s Master</w:t>
      </w:r>
      <w:r>
        <w:rPr>
          <w:spacing w:val="-1"/>
        </w:rPr>
        <w:t> </w:t>
      </w:r>
      <w:r>
        <w:rPr/>
        <w:t>Serv!ces</w:t>
      </w:r>
      <w:r>
        <w:rPr>
          <w:spacing w:val="-1"/>
        </w:rPr>
        <w:t> </w:t>
      </w:r>
      <w:r>
        <w:rPr/>
        <w:t>Agreement (the “Agreement”) !s entered !nto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March</w:t>
      </w:r>
      <w:r>
        <w:rPr>
          <w:spacing w:val="-1"/>
        </w:rPr>
        <w:t> </w:t>
      </w:r>
      <w:r>
        <w:rPr/>
        <w:t>4,</w:t>
      </w:r>
      <w:r>
        <w:rPr>
          <w:spacing w:val="-1"/>
        </w:rPr>
        <w:t> </w:t>
      </w:r>
      <w:r>
        <w:rPr/>
        <w:t>2026 (the “Effeect!ve</w:t>
      </w:r>
      <w:r>
        <w:rPr>
          <w:spacing w:val="-3"/>
        </w:rPr>
        <w:t> </w:t>
      </w:r>
      <w:r>
        <w:rPr/>
        <w:t>Date”)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between</w:t>
      </w:r>
      <w:r>
        <w:rPr>
          <w:spacing w:val="-4"/>
        </w:rPr>
        <w:t> </w:t>
      </w:r>
      <w:r>
        <w:rPr/>
        <w:t>Halvorsen</w:t>
      </w:r>
      <w:r>
        <w:rPr>
          <w:spacing w:val="-4"/>
        </w:rPr>
        <w:t> </w:t>
      </w:r>
      <w:r>
        <w:rPr/>
        <w:t>Mar!ne</w:t>
      </w:r>
      <w:r>
        <w:rPr>
          <w:spacing w:val="-4"/>
        </w:rPr>
        <w:t> </w:t>
      </w:r>
      <w:r>
        <w:rPr/>
        <w:t>Log!st!cs,</w:t>
      </w:r>
      <w:r>
        <w:rPr>
          <w:spacing w:val="-3"/>
        </w:rPr>
        <w:t> </w:t>
      </w:r>
      <w:r>
        <w:rPr/>
        <w:t>Inc.,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Delaware</w:t>
      </w:r>
      <w:r>
        <w:rPr>
          <w:spacing w:val="-4"/>
        </w:rPr>
        <w:t> </w:t>
      </w:r>
      <w:r>
        <w:rPr/>
        <w:t>corporat!on </w:t>
      </w:r>
      <w:r>
        <w:rPr>
          <w:spacing w:val="-2"/>
        </w:rPr>
        <w:t>w!th</w:t>
      </w:r>
      <w:r>
        <w:rPr>
          <w:spacing w:val="-13"/>
        </w:rPr>
        <w:t> </w:t>
      </w:r>
      <w:r>
        <w:rPr>
          <w:spacing w:val="-2"/>
        </w:rPr>
        <w:t>officces</w:t>
      </w:r>
      <w:r>
        <w:rPr>
          <w:spacing w:val="-13"/>
        </w:rPr>
        <w:t> </w:t>
      </w:r>
      <w:r>
        <w:rPr>
          <w:spacing w:val="-2"/>
        </w:rPr>
        <w:t>at</w:t>
      </w:r>
      <w:r>
        <w:rPr>
          <w:spacing w:val="-10"/>
        </w:rPr>
        <w:t> </w:t>
      </w:r>
      <w:r>
        <w:rPr>
          <w:spacing w:val="-2"/>
        </w:rPr>
        <w:t>4410</w:t>
      </w:r>
      <w:r>
        <w:rPr>
          <w:spacing w:val="-11"/>
        </w:rPr>
        <w:t> </w:t>
      </w:r>
      <w:r>
        <w:rPr>
          <w:spacing w:val="-2"/>
        </w:rPr>
        <w:t>Quaays!de</w:t>
      </w:r>
      <w:r>
        <w:rPr>
          <w:spacing w:val="-11"/>
        </w:rPr>
        <w:t> </w:t>
      </w:r>
      <w:r>
        <w:rPr>
          <w:spacing w:val="-2"/>
        </w:rPr>
        <w:t>Dr!ve,</w:t>
      </w:r>
      <w:r>
        <w:rPr>
          <w:spacing w:val="-10"/>
        </w:rPr>
        <w:t> </w:t>
      </w:r>
      <w:r>
        <w:rPr>
          <w:spacing w:val="-2"/>
        </w:rPr>
        <w:t>Norfolk,</w:t>
      </w:r>
      <w:r>
        <w:rPr>
          <w:spacing w:val="-10"/>
        </w:rPr>
        <w:t> </w:t>
      </w:r>
      <w:r>
        <w:rPr>
          <w:spacing w:val="-2"/>
        </w:rPr>
        <w:t>V!rg!n!a</w:t>
      </w:r>
      <w:r>
        <w:rPr>
          <w:spacing w:val="-11"/>
        </w:rPr>
        <w:t> </w:t>
      </w:r>
      <w:r>
        <w:rPr>
          <w:spacing w:val="-2"/>
        </w:rPr>
        <w:t>23</w:t>
      </w:r>
      <w:r>
        <w:rPr>
          <w:spacing w:val="-30"/>
        </w:rPr>
        <w:t> </w:t>
      </w:r>
      <w:r>
        <w:rPr>
          <w:spacing w:val="-2"/>
        </w:rPr>
        <w:t>210</w:t>
      </w:r>
      <w:r>
        <w:rPr>
          <w:spacing w:val="-11"/>
        </w:rPr>
        <w:t> </w:t>
      </w:r>
      <w:r>
        <w:rPr>
          <w:spacing w:val="-2"/>
        </w:rPr>
        <w:t>(“Cl!ent”),</w:t>
      </w:r>
      <w:r>
        <w:rPr>
          <w:spacing w:val="-11"/>
        </w:rPr>
        <w:t> </w:t>
      </w:r>
      <w:r>
        <w:rPr>
          <w:spacing w:val="-2"/>
        </w:rPr>
        <w:t>and</w:t>
      </w:r>
      <w:r>
        <w:rPr>
          <w:spacing w:val="-11"/>
        </w:rPr>
        <w:t> </w:t>
      </w:r>
      <w:r>
        <w:rPr>
          <w:spacing w:val="-2"/>
        </w:rPr>
        <w:t>Br!ghtwater Analyt!cs</w:t>
      </w:r>
      <w:r>
        <w:rPr>
          <w:spacing w:val="-8"/>
        </w:rPr>
        <w:t> </w:t>
      </w:r>
      <w:r>
        <w:rPr>
          <w:spacing w:val="-2"/>
        </w:rPr>
        <w:t>LLC,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Colorado</w:t>
      </w:r>
      <w:r>
        <w:rPr>
          <w:spacing w:val="-9"/>
        </w:rPr>
        <w:t> </w:t>
      </w:r>
      <w:r>
        <w:rPr>
          <w:spacing w:val="-2"/>
        </w:rPr>
        <w:t>l!</w:t>
      </w:r>
      <w:bookmarkStart w:name="_bookmark0" w:id="1"/>
      <w:bookmarkEnd w:id="1"/>
      <w:r>
        <w:rPr>
          <w:spacing w:val="-2"/>
        </w:rPr>
        <w:t>m</w:t>
      </w:r>
      <w:r>
        <w:rPr>
          <w:spacing w:val="-2"/>
        </w:rPr>
        <w:t>!ted</w:t>
      </w:r>
      <w:r>
        <w:rPr>
          <w:spacing w:val="-9"/>
        </w:rPr>
        <w:t> </w:t>
      </w:r>
      <w:r>
        <w:rPr>
          <w:spacing w:val="-2"/>
        </w:rPr>
        <w:t>l!ab!l!ty</w:t>
      </w:r>
      <w:r>
        <w:rPr>
          <w:spacing w:val="-9"/>
        </w:rPr>
        <w:t> </w:t>
      </w:r>
      <w:r>
        <w:rPr>
          <w:spacing w:val="-2"/>
        </w:rPr>
        <w:t>company</w:t>
      </w:r>
      <w:r>
        <w:rPr>
          <w:spacing w:val="-8"/>
        </w:rPr>
        <w:t> </w:t>
      </w:r>
      <w:r>
        <w:rPr>
          <w:spacing w:val="-2"/>
        </w:rPr>
        <w:t>w!th</w:t>
      </w:r>
      <w:r>
        <w:rPr>
          <w:spacing w:val="-9"/>
        </w:rPr>
        <w:t> </w:t>
      </w:r>
      <w:r>
        <w:rPr>
          <w:spacing w:val="-2"/>
        </w:rPr>
        <w:t>officces</w:t>
      </w:r>
      <w:r>
        <w:rPr>
          <w:spacing w:val="-9"/>
        </w:rPr>
        <w:t> </w:t>
      </w:r>
      <w:r>
        <w:rPr>
          <w:spacing w:val="-2"/>
        </w:rPr>
        <w:t>at</w:t>
      </w:r>
      <w:r>
        <w:rPr>
          <w:spacing w:val="-8"/>
        </w:rPr>
        <w:t> </w:t>
      </w:r>
      <w:r>
        <w:rPr>
          <w:spacing w:val="-2"/>
        </w:rPr>
        <w:t>918</w:t>
      </w:r>
      <w:r>
        <w:rPr>
          <w:spacing w:val="-9"/>
        </w:rPr>
        <w:t> </w:t>
      </w:r>
      <w:r>
        <w:rPr>
          <w:spacing w:val="-2"/>
        </w:rPr>
        <w:t>Pearl</w:t>
      </w:r>
      <w:r>
        <w:rPr>
          <w:spacing w:val="-9"/>
        </w:rPr>
        <w:t> </w:t>
      </w:r>
      <w:r>
        <w:rPr>
          <w:spacing w:val="-2"/>
        </w:rPr>
        <w:t>Street,</w:t>
      </w:r>
      <w:r>
        <w:rPr>
          <w:spacing w:val="-9"/>
        </w:rPr>
        <w:t> </w:t>
      </w:r>
      <w:r>
        <w:rPr>
          <w:spacing w:val="-2"/>
        </w:rPr>
        <w:t>Boulder, </w:t>
      </w:r>
      <w:r>
        <w:rPr/>
        <w:t>Colorado 80</w:t>
      </w:r>
      <w:r>
        <w:rPr>
          <w:spacing w:val="-22"/>
        </w:rPr>
        <w:t> </w:t>
      </w:r>
      <w:r>
        <w:rPr/>
        <w:t>302 (“Prov!der”).</w:t>
      </w:r>
      <w:hyperlink w:history="true" w:anchor="_bookmark2">
        <w:r>
          <w:rPr>
            <w:vertAlign w:val="superscript"/>
          </w:rPr>
          <w:t>1</w:t>
        </w:r>
      </w:hyperlink>
    </w:p>
    <w:p>
      <w:pPr>
        <w:pStyle w:val="BodyText"/>
        <w:spacing w:before="68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1"/>
          <w:spacing w:val="-2"/>
        </w:rPr>
        <w:t>Defin"itio"s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83" w:after="0"/>
        <w:ind w:left="1081" w:right="605" w:hanging="360"/>
        <w:jc w:val="left"/>
        <w:rPr>
          <w:sz w:val="24"/>
        </w:rPr>
      </w:pPr>
      <w:r>
        <w:rPr>
          <w:sz w:val="24"/>
        </w:rPr>
        <w:t>“Del!verables” means the reports, dashboards, and data models that Prov!der prepares for Cl!ent under a Statement of Work.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32" w:after="0"/>
        <w:ind w:left="1081" w:right="1142" w:hanging="360"/>
        <w:jc w:val="left"/>
        <w:rPr>
          <w:sz w:val="24"/>
        </w:rPr>
      </w:pPr>
      <w:r>
        <w:rPr>
          <w:sz w:val="24"/>
        </w:rPr>
        <w:t>“Statement of Work” or “SOW” means a document executed by both part!es that descr!bes</w:t>
      </w:r>
      <w:r>
        <w:rPr>
          <w:spacing w:val="-3"/>
          <w:sz w:val="24"/>
        </w:rPr>
        <w:t> </w:t>
      </w:r>
      <w:r>
        <w:rPr>
          <w:sz w:val="24"/>
        </w:rPr>
        <w:t>spec!ficc</w:t>
      </w:r>
      <w:r>
        <w:rPr>
          <w:spacing w:val="-3"/>
          <w:sz w:val="24"/>
        </w:rPr>
        <w:t> </w:t>
      </w:r>
      <w:r>
        <w:rPr>
          <w:sz w:val="24"/>
        </w:rPr>
        <w:t>serv!ces,</w:t>
      </w:r>
      <w:r>
        <w:rPr>
          <w:spacing w:val="-3"/>
          <w:sz w:val="24"/>
        </w:rPr>
        <w:t> </w:t>
      </w:r>
      <w:r>
        <w:rPr>
          <w:sz w:val="24"/>
        </w:rPr>
        <w:t>fees,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m!lestones.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75" w:lineRule="exact" w:before="32" w:after="0"/>
        <w:ind w:left="1080" w:right="0" w:hanging="359"/>
        <w:jc w:val="left"/>
        <w:rPr>
          <w:sz w:val="24"/>
        </w:rPr>
      </w:pPr>
      <w:r>
        <w:rPr>
          <w:spacing w:val="-2"/>
          <w:sz w:val="24"/>
        </w:rPr>
        <w:t>“Conficdent!al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Informat!on” means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non-publ!c !nformat!on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d!sclosed by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e!ther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party,</w:t>
      </w:r>
    </w:p>
    <w:p>
      <w:pPr>
        <w:pStyle w:val="BodyText"/>
        <w:spacing w:line="275" w:lineRule="exact"/>
        <w:ind w:left="1081"/>
      </w:pPr>
      <w:r>
        <w:rPr>
          <w:spacing w:val="-2"/>
        </w:rPr>
        <w:t>!nclud!ng: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34" w:after="0"/>
        <w:ind w:left="1801" w:right="0" w:hanging="359"/>
        <w:jc w:val="left"/>
        <w:rPr>
          <w:sz w:val="24"/>
        </w:rPr>
      </w:pPr>
      <w:r>
        <w:rPr>
          <w:sz w:val="24"/>
        </w:rPr>
        <w:t>pr!c!ng,</w:t>
      </w:r>
      <w:r>
        <w:rPr>
          <w:spacing w:val="-3"/>
          <w:sz w:val="24"/>
        </w:rPr>
        <w:t> </w:t>
      </w:r>
      <w:r>
        <w:rPr>
          <w:sz w:val="24"/>
        </w:rPr>
        <w:t>vessel</w:t>
      </w:r>
      <w:r>
        <w:rPr>
          <w:spacing w:val="-2"/>
          <w:sz w:val="24"/>
        </w:rPr>
        <w:t> </w:t>
      </w:r>
      <w:r>
        <w:rPr>
          <w:sz w:val="24"/>
        </w:rPr>
        <w:t>schedules,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customer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l!sts;</w:t>
      </w:r>
    </w:p>
    <w:p>
      <w:pPr>
        <w:pStyle w:val="ListParagraph"/>
        <w:numPr>
          <w:ilvl w:val="2"/>
          <w:numId w:val="1"/>
        </w:numPr>
        <w:tabs>
          <w:tab w:pos="1800" w:val="left" w:leader="none"/>
        </w:tabs>
        <w:spacing w:line="240" w:lineRule="auto" w:before="34" w:after="0"/>
        <w:ind w:left="1800" w:right="0" w:hanging="358"/>
        <w:jc w:val="left"/>
        <w:rPr>
          <w:sz w:val="24"/>
        </w:rPr>
      </w:pPr>
      <w:r>
        <w:rPr>
          <w:sz w:val="24"/>
        </w:rPr>
        <w:t>source code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model</w:t>
      </w:r>
      <w:r>
        <w:rPr>
          <w:spacing w:val="-1"/>
          <w:sz w:val="24"/>
        </w:rPr>
        <w:t> </w:t>
      </w:r>
      <w:r>
        <w:rPr>
          <w:sz w:val="24"/>
        </w:rPr>
        <w:t>we!ghts; </w:t>
      </w:r>
      <w:r>
        <w:rPr>
          <w:spacing w:val="-5"/>
          <w:sz w:val="24"/>
        </w:rPr>
        <w:t>and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34" w:after="0"/>
        <w:ind w:left="1801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6"/>
          <w:sz w:val="24"/>
        </w:rPr>
        <w:t> </w:t>
      </w:r>
      <w:r>
        <w:rPr>
          <w:sz w:val="24"/>
        </w:rPr>
        <w:t>terms</w:t>
      </w:r>
      <w:r>
        <w:rPr>
          <w:spacing w:val="6"/>
          <w:sz w:val="24"/>
        </w:rPr>
        <w:t> </w:t>
      </w:r>
      <w:r>
        <w:rPr>
          <w:sz w:val="24"/>
        </w:rPr>
        <w:t>of</w:t>
      </w:r>
      <w:r>
        <w:rPr>
          <w:spacing w:val="7"/>
          <w:sz w:val="24"/>
        </w:rPr>
        <w:t> </w:t>
      </w:r>
      <w:r>
        <w:rPr>
          <w:sz w:val="24"/>
        </w:rPr>
        <w:t>th!s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Agreement.</w:t>
      </w:r>
    </w:p>
    <w:p>
      <w:pPr>
        <w:pStyle w:val="BodyText"/>
        <w:spacing w:before="75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1"/>
        </w:rPr>
        <w:t>Services</w:t>
      </w:r>
      <w:r>
        <w:rPr>
          <w:color w:val="0E4661"/>
          <w:spacing w:val="16"/>
        </w:rPr>
        <w:t> </w:t>
      </w:r>
      <w:r>
        <w:rPr>
          <w:color w:val="0E4661"/>
        </w:rPr>
        <w:t>a"d</w:t>
      </w:r>
      <w:r>
        <w:rPr>
          <w:color w:val="0E4661"/>
          <w:spacing w:val="16"/>
        </w:rPr>
        <w:t> </w:t>
      </w:r>
      <w:r>
        <w:rPr>
          <w:color w:val="0E4661"/>
          <w:spacing w:val="-4"/>
        </w:rPr>
        <w:t>Fees</w:t>
      </w:r>
    </w:p>
    <w:p>
      <w:pPr>
        <w:pStyle w:val="BodyText"/>
        <w:spacing w:before="183"/>
        <w:ind w:left="361" w:right="469"/>
        <w:jc w:val="both"/>
      </w:pPr>
      <w:r>
        <w:rPr/>
        <w:t>Prov!der</w:t>
      </w:r>
      <w:r>
        <w:rPr>
          <w:spacing w:val="-4"/>
        </w:rPr>
        <w:t> </w:t>
      </w:r>
      <w:r>
        <w:rPr/>
        <w:t>w!ll</w:t>
      </w:r>
      <w:r>
        <w:rPr>
          <w:spacing w:val="-5"/>
        </w:rPr>
        <w:t> </w:t>
      </w:r>
      <w:r>
        <w:rPr/>
        <w:t>perform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serv!ces</w:t>
      </w:r>
      <w:r>
        <w:rPr>
          <w:spacing w:val="-5"/>
        </w:rPr>
        <w:t> </w:t>
      </w:r>
      <w:r>
        <w:rPr/>
        <w:t>descr!bed</w:t>
      </w:r>
      <w:r>
        <w:rPr>
          <w:spacing w:val="-3"/>
        </w:rPr>
        <w:t> </w:t>
      </w:r>
      <w:r>
        <w:rPr/>
        <w:t>!n</w:t>
      </w:r>
      <w:r>
        <w:rPr>
          <w:spacing w:val="-5"/>
        </w:rPr>
        <w:t> </w:t>
      </w:r>
      <w:r>
        <w:rPr/>
        <w:t>each</w:t>
      </w:r>
      <w:r>
        <w:rPr>
          <w:spacing w:val="-5"/>
        </w:rPr>
        <w:t> </w:t>
      </w:r>
      <w:r>
        <w:rPr/>
        <w:t>SOW.</w:t>
      </w:r>
      <w:r>
        <w:rPr>
          <w:spacing w:val="-4"/>
        </w:rPr>
        <w:t> </w:t>
      </w:r>
      <w:r>
        <w:rPr/>
        <w:t>Cl!ent</w:t>
      </w:r>
      <w:r>
        <w:rPr>
          <w:spacing w:val="-5"/>
        </w:rPr>
        <w:t> </w:t>
      </w:r>
      <w:r>
        <w:rPr/>
        <w:t>w!ll</w:t>
      </w:r>
      <w:r>
        <w:rPr>
          <w:spacing w:val="-5"/>
        </w:rPr>
        <w:t> </w:t>
      </w:r>
      <w:r>
        <w:rPr/>
        <w:t>pay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fees</w:t>
      </w:r>
      <w:r>
        <w:rPr>
          <w:spacing w:val="-4"/>
        </w:rPr>
        <w:t> </w:t>
      </w:r>
      <w:r>
        <w:rPr/>
        <w:t>l!sted</w:t>
      </w:r>
      <w:r>
        <w:rPr>
          <w:spacing w:val="-5"/>
        </w:rPr>
        <w:t> </w:t>
      </w:r>
      <w:r>
        <w:rPr/>
        <w:t>below w!th!n th!rty (30) days of each !nvo!ce. Late amou</w:t>
      </w:r>
      <w:bookmarkStart w:name="_bookmark1" w:id="2"/>
      <w:bookmarkEnd w:id="2"/>
      <w:r>
        <w:rPr/>
        <w:t>n</w:t>
      </w:r>
      <w:r>
        <w:rPr/>
        <w:t>ts accrue !nterest at 1.22% per month or the h!ghest rate perm!tteed by law, wh!chever !s lower.</w:t>
      </w:r>
      <w:hyperlink w:history="true" w:anchor="_bookmark3">
        <w:r>
          <w:rPr>
            <w:vertAlign w:val="superscript"/>
          </w:rPr>
          <w:t>1</w:t>
        </w:r>
      </w:hyperlink>
    </w:p>
    <w:p>
      <w:pPr>
        <w:pStyle w:val="BodyText"/>
        <w:spacing w:before="174"/>
        <w:ind w:left="361"/>
        <w:jc w:val="both"/>
      </w:pPr>
      <w:r>
        <w:rPr>
          <w:spacing w:val="-4"/>
        </w:rPr>
        <w:t>Table</w:t>
      </w:r>
      <w:r>
        <w:rPr>
          <w:spacing w:val="-8"/>
        </w:rPr>
        <w:t> </w:t>
      </w:r>
      <w:r>
        <w:rPr>
          <w:spacing w:val="-4"/>
        </w:rPr>
        <w:t>1.</w:t>
      </w:r>
      <w:r>
        <w:rPr>
          <w:spacing w:val="-7"/>
        </w:rPr>
        <w:t> </w:t>
      </w:r>
      <w:r>
        <w:rPr>
          <w:spacing w:val="-4"/>
        </w:rPr>
        <w:t>Fee</w:t>
      </w:r>
      <w:r>
        <w:rPr>
          <w:spacing w:val="-8"/>
        </w:rPr>
        <w:t> </w:t>
      </w:r>
      <w:r>
        <w:rPr>
          <w:spacing w:val="-4"/>
        </w:rPr>
        <w:t>schedule</w:t>
      </w:r>
    </w:p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36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2340"/>
        <w:gridCol w:w="2340"/>
        <w:gridCol w:w="2340"/>
      </w:tblGrid>
      <w:tr>
        <w:trPr>
          <w:trHeight w:val="510" w:hRule="atLeast"/>
        </w:trPr>
        <w:tc>
          <w:tcPr>
            <w:tcW w:w="2340" w:type="dxa"/>
          </w:tcPr>
          <w:p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Service</w:t>
            </w:r>
          </w:p>
        </w:tc>
        <w:tc>
          <w:tcPr>
            <w:tcW w:w="2340" w:type="dxa"/>
          </w:tcPr>
          <w:p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Unit</w:t>
            </w:r>
          </w:p>
        </w:tc>
        <w:tc>
          <w:tcPr>
            <w:tcW w:w="2340" w:type="dxa"/>
          </w:tcPr>
          <w:p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Rate </w:t>
            </w:r>
            <w:r>
              <w:rPr>
                <w:b/>
                <w:spacing w:val="-2"/>
                <w:sz w:val="24"/>
              </w:rPr>
              <w:t>(USD)</w:t>
            </w:r>
          </w:p>
        </w:tc>
        <w:tc>
          <w:tcPr>
            <w:tcW w:w="2340" w:type="dxa"/>
          </w:tcPr>
          <w:p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Monthly</w:t>
            </w:r>
            <w:r>
              <w:rPr>
                <w:b/>
                <w:spacing w:val="20"/>
                <w:w w:val="110"/>
                <w:sz w:val="24"/>
              </w:rPr>
              <w:t> </w:t>
            </w:r>
            <w:r>
              <w:rPr>
                <w:b/>
                <w:spacing w:val="-2"/>
                <w:w w:val="110"/>
                <w:sz w:val="24"/>
              </w:rPr>
              <w:t>minimum</w:t>
            </w:r>
          </w:p>
        </w:tc>
      </w:tr>
      <w:tr>
        <w:trPr>
          <w:trHeight w:val="473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z w:val="24"/>
              </w:rPr>
              <w:t>Route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analyt!cs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vessel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1,820.00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12,920.00</w:t>
            </w:r>
          </w:p>
        </w:tc>
      </w:tr>
      <w:tr>
        <w:trPr>
          <w:trHeight w:val="474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z w:val="24"/>
              </w:rPr>
              <w:t>Port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congest!on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4"/>
                <w:sz w:val="24"/>
              </w:rPr>
              <w:t>feed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port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640.00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3,200.00</w:t>
            </w:r>
          </w:p>
        </w:tc>
      </w:tr>
      <w:tr>
        <w:trPr>
          <w:trHeight w:val="474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z w:val="24"/>
              </w:rPr>
              <w:t>Custom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model!ng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hour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282.00</w:t>
            </w:r>
          </w:p>
        </w:tc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>
        <w:trPr>
          <w:trHeight w:val="473" w:hRule="atLeast"/>
        </w:trPr>
        <w:tc>
          <w:tcPr>
            <w:tcW w:w="2340" w:type="dxa"/>
          </w:tcPr>
          <w:p>
            <w:pPr>
              <w:pStyle w:val="TableParagraph"/>
              <w:spacing w:line="266" w:lineRule="exact" w:before="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Onboard!ng</w:t>
            </w:r>
          </w:p>
        </w:tc>
        <w:tc>
          <w:tcPr>
            <w:tcW w:w="7020" w:type="dxa"/>
            <w:gridSpan w:val="3"/>
          </w:tcPr>
          <w:p>
            <w:pPr>
              <w:pStyle w:val="TableParagraph"/>
              <w:spacing w:line="266" w:lineRule="exact" w:before="0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One-t!me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fee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of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7,200.00,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!nvo!ced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Effeect!ve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Date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913764</wp:posOffset>
                </wp:positionH>
                <wp:positionV relativeFrom="paragraph">
                  <wp:posOffset>282599</wp:posOffset>
                </wp:positionV>
                <wp:extent cx="1830070" cy="762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30070" cy="7620"/>
                          <a:chExt cx="183007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0" y="6349"/>
                                </a:move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49997pt;margin-top:22.251953pt;width:144.1pt;height:.6pt;mso-position-horizontal-relative:page;mso-position-vertical-relative:paragraph;z-index:-15728640;mso-wrap-distance-left:0;mso-wrap-distance-right:0" id="docshapegroup3" coordorigin="1439,445" coordsize="2882,12">
                <v:rect style="position:absolute;left:1440;top:446;width:2880;height:10" id="docshape4" filled="true" fillcolor="#000000" stroked="false">
                  <v:fill type="solid"/>
                </v:rect>
                <v:rect style="position:absolute;left:1440;top:446;width:2880;height:10" id="docshape5" filled="false" stroked="true" strokeweight=".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0"/>
        <w:ind w:left="361" w:right="323"/>
      </w:pPr>
      <w:bookmarkStart w:name="_bookmark2" w:id="3"/>
      <w:bookmarkEnd w:id="3"/>
      <w:r>
        <w:rPr/>
      </w:r>
      <w:hyperlink w:history="true" w:anchor="_bookmark0">
        <w:r>
          <w:rPr>
            <w:vertAlign w:val="superscript"/>
          </w:rPr>
          <w:t>1</w:t>
        </w:r>
      </w:hyperlink>
      <w:r>
        <w:rPr>
          <w:vertAlign w:val="baseline"/>
        </w:rPr>
        <w:t> Prov!der was formerly known as Br!ghtwater Data Partners LLC and changed !ts name on January 12, 2022.</w:t>
      </w:r>
    </w:p>
    <w:p>
      <w:pPr>
        <w:pStyle w:val="BodyText"/>
        <w:spacing w:line="275" w:lineRule="exact" w:before="196"/>
        <w:ind w:left="361"/>
        <w:jc w:val="both"/>
      </w:pPr>
      <w:bookmarkStart w:name="_bookmark3" w:id="4"/>
      <w:bookmarkEnd w:id="4"/>
      <w:r>
        <w:rPr/>
      </w:r>
      <w:hyperlink w:history="true" w:anchor="_bookmark1">
        <w:r>
          <w:rPr>
            <w:vertAlign w:val="superscript"/>
          </w:rPr>
          <w:t>1</w:t>
        </w:r>
      </w:hyperlink>
      <w:r>
        <w:rPr>
          <w:spacing w:val="1"/>
          <w:vertAlign w:val="baseline"/>
        </w:rPr>
        <w:t> </w:t>
      </w:r>
      <w:r>
        <w:rPr>
          <w:vertAlign w:val="baseline"/>
        </w:rPr>
        <w:t>Interest</w:t>
      </w:r>
      <w:r>
        <w:rPr>
          <w:spacing w:val="4"/>
          <w:vertAlign w:val="baseline"/>
        </w:rPr>
        <w:t> </w:t>
      </w:r>
      <w:r>
        <w:rPr>
          <w:vertAlign w:val="baseline"/>
        </w:rPr>
        <w:t>!s</w:t>
      </w:r>
      <w:r>
        <w:rPr>
          <w:spacing w:val="3"/>
          <w:vertAlign w:val="baseline"/>
        </w:rPr>
        <w:t> </w:t>
      </w:r>
      <w:r>
        <w:rPr>
          <w:vertAlign w:val="baseline"/>
        </w:rPr>
        <w:t>calculated</w:t>
      </w:r>
      <w:r>
        <w:rPr>
          <w:spacing w:val="3"/>
          <w:vertAlign w:val="baseline"/>
        </w:rPr>
        <w:t> </w:t>
      </w:r>
      <w:r>
        <w:rPr>
          <w:vertAlign w:val="baseline"/>
        </w:rPr>
        <w:t>da!ly</w:t>
      </w:r>
      <w:r>
        <w:rPr>
          <w:spacing w:val="3"/>
          <w:vertAlign w:val="baseline"/>
        </w:rPr>
        <w:t> </w:t>
      </w:r>
      <w:r>
        <w:rPr>
          <w:vertAlign w:val="baseline"/>
        </w:rPr>
        <w:t>on</w:t>
      </w:r>
      <w:r>
        <w:rPr>
          <w:spacing w:val="3"/>
          <w:vertAlign w:val="baseline"/>
        </w:rPr>
        <w:t> </w:t>
      </w:r>
      <w:r>
        <w:rPr>
          <w:vertAlign w:val="baseline"/>
        </w:rPr>
        <w:t>the</w:t>
      </w:r>
      <w:r>
        <w:rPr>
          <w:spacing w:val="3"/>
          <w:vertAlign w:val="baseline"/>
        </w:rPr>
        <w:t> </w:t>
      </w:r>
      <w:r>
        <w:rPr>
          <w:vertAlign w:val="baseline"/>
        </w:rPr>
        <w:t>unpa!d</w:t>
      </w:r>
      <w:r>
        <w:rPr>
          <w:spacing w:val="3"/>
          <w:vertAlign w:val="baseline"/>
        </w:rPr>
        <w:t> </w:t>
      </w:r>
      <w:r>
        <w:rPr>
          <w:vertAlign w:val="baseline"/>
        </w:rPr>
        <w:t>balance</w:t>
      </w:r>
      <w:r>
        <w:rPr>
          <w:spacing w:val="3"/>
          <w:vertAlign w:val="baseline"/>
        </w:rPr>
        <w:t> </w:t>
      </w:r>
      <w:r>
        <w:rPr>
          <w:vertAlign w:val="baseline"/>
        </w:rPr>
        <w:t>from</w:t>
      </w:r>
      <w:r>
        <w:rPr>
          <w:spacing w:val="4"/>
          <w:vertAlign w:val="baseline"/>
        </w:rPr>
        <w:t> </w:t>
      </w:r>
      <w:r>
        <w:rPr>
          <w:vertAlign w:val="baseline"/>
        </w:rPr>
        <w:t>the</w:t>
      </w:r>
      <w:r>
        <w:rPr>
          <w:spacing w:val="2"/>
          <w:vertAlign w:val="baseline"/>
        </w:rPr>
        <w:t> </w:t>
      </w:r>
      <w:r>
        <w:rPr>
          <w:vertAlign w:val="baseline"/>
        </w:rPr>
        <w:t>due</w:t>
      </w:r>
      <w:r>
        <w:rPr>
          <w:spacing w:val="3"/>
          <w:vertAlign w:val="baseline"/>
        </w:rPr>
        <w:t> </w:t>
      </w:r>
      <w:r>
        <w:rPr>
          <w:vertAlign w:val="baseline"/>
        </w:rPr>
        <w:t>date</w:t>
      </w:r>
      <w:r>
        <w:rPr>
          <w:spacing w:val="3"/>
          <w:vertAlign w:val="baseline"/>
        </w:rPr>
        <w:t> </w:t>
      </w:r>
      <w:r>
        <w:rPr>
          <w:vertAlign w:val="baseline"/>
        </w:rPr>
        <w:t>unt!l</w:t>
      </w:r>
      <w:r>
        <w:rPr>
          <w:spacing w:val="4"/>
          <w:vertAlign w:val="baseline"/>
        </w:rPr>
        <w:t> </w:t>
      </w:r>
      <w:r>
        <w:rPr>
          <w:vertAlign w:val="baseline"/>
        </w:rPr>
        <w:t>payment</w:t>
      </w:r>
      <w:r>
        <w:rPr>
          <w:spacing w:val="4"/>
          <w:vertAlign w:val="baseline"/>
        </w:rPr>
        <w:t> </w:t>
      </w:r>
      <w:r>
        <w:rPr>
          <w:vertAlign w:val="baseline"/>
        </w:rPr>
        <w:t>!s</w:t>
      </w:r>
      <w:r>
        <w:rPr>
          <w:spacing w:val="3"/>
          <w:vertAlign w:val="baseline"/>
        </w:rPr>
        <w:t> </w:t>
      </w:r>
      <w:r>
        <w:rPr>
          <w:spacing w:val="-2"/>
          <w:vertAlign w:val="baseline"/>
        </w:rPr>
        <w:t>rece!ved</w:t>
      </w:r>
    </w:p>
    <w:p>
      <w:pPr>
        <w:pStyle w:val="BodyText"/>
        <w:spacing w:line="275" w:lineRule="exact"/>
        <w:ind w:left="361"/>
        <w:jc w:val="both"/>
      </w:pPr>
      <w:r>
        <w:rPr/>
        <w:t>!n</w:t>
      </w:r>
      <w:r>
        <w:rPr>
          <w:spacing w:val="-8"/>
        </w:rPr>
        <w:t> </w:t>
      </w:r>
      <w:r>
        <w:rPr>
          <w:spacing w:val="-2"/>
        </w:rPr>
        <w:t>full.</w:t>
      </w:r>
    </w:p>
    <w:p>
      <w:pPr>
        <w:pStyle w:val="BodyText"/>
        <w:spacing w:after="0" w:line="275" w:lineRule="exact"/>
        <w:jc w:val="both"/>
        <w:sectPr>
          <w:headerReference w:type="default" r:id="rId5"/>
          <w:footerReference w:type="default" r:id="rId6"/>
          <w:type w:val="continuous"/>
          <w:pgSz w:w="12240" w:h="15840"/>
          <w:pgMar w:header="720" w:footer="994" w:top="1340" w:bottom="1180" w:left="1080" w:right="1080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74" w:after="0"/>
        <w:ind w:left="1081" w:right="0" w:hanging="720"/>
        <w:jc w:val="left"/>
      </w:pPr>
      <w:r>
        <w:rPr>
          <w:color w:val="0E4661"/>
          <w:w w:val="105"/>
        </w:rPr>
        <w:t>Term</w:t>
      </w:r>
      <w:r>
        <w:rPr>
          <w:color w:val="0E4661"/>
          <w:spacing w:val="-20"/>
          <w:w w:val="105"/>
        </w:rPr>
        <w:t> </w:t>
      </w:r>
      <w:r>
        <w:rPr>
          <w:color w:val="0E4661"/>
          <w:w w:val="105"/>
        </w:rPr>
        <w:t>a"d</w:t>
      </w:r>
      <w:r>
        <w:rPr>
          <w:color w:val="0E4661"/>
          <w:spacing w:val="-20"/>
          <w:w w:val="105"/>
        </w:rPr>
        <w:t> </w:t>
      </w:r>
      <w:r>
        <w:rPr>
          <w:color w:val="0E4661"/>
          <w:spacing w:val="-2"/>
          <w:w w:val="105"/>
        </w:rPr>
        <w:t>Termi"atio"</w:t>
      </w:r>
    </w:p>
    <w:p>
      <w:pPr>
        <w:pStyle w:val="BodyText"/>
        <w:spacing w:before="182"/>
        <w:ind w:left="361" w:right="323"/>
      </w:pPr>
      <w:r>
        <w:rPr/>
        <w:t>Thie</w:t>
      </w:r>
      <w:r>
        <w:rPr>
          <w:spacing w:val="-12"/>
        </w:rPr>
        <w:t> </w:t>
      </w:r>
      <w:r>
        <w:rPr/>
        <w:t>!n!t!al</w:t>
      </w:r>
      <w:r>
        <w:rPr>
          <w:spacing w:val="-12"/>
        </w:rPr>
        <w:t> </w:t>
      </w:r>
      <w:r>
        <w:rPr/>
        <w:t>term</w:t>
      </w:r>
      <w:r>
        <w:rPr>
          <w:spacing w:val="-12"/>
        </w:rPr>
        <w:t> </w:t>
      </w:r>
      <w:r>
        <w:rPr/>
        <w:t>beg!ns</w:t>
      </w:r>
      <w:r>
        <w:rPr>
          <w:spacing w:val="-12"/>
        </w:rPr>
        <w:t> </w:t>
      </w:r>
      <w:r>
        <w:rPr/>
        <w:t>on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Effeect!ve</w:t>
      </w:r>
      <w:r>
        <w:rPr>
          <w:spacing w:val="-12"/>
        </w:rPr>
        <w:t> </w:t>
      </w:r>
      <w:r>
        <w:rPr/>
        <w:t>Date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cont!nues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/>
        <w:t>twenty-four</w:t>
      </w:r>
      <w:r>
        <w:rPr>
          <w:spacing w:val="-12"/>
        </w:rPr>
        <w:t> </w:t>
      </w:r>
      <w:r>
        <w:rPr/>
        <w:t>(24)</w:t>
      </w:r>
      <w:r>
        <w:rPr>
          <w:spacing w:val="-12"/>
        </w:rPr>
        <w:t> </w:t>
      </w:r>
      <w:r>
        <w:rPr/>
        <w:t>months.</w:t>
      </w:r>
      <w:r>
        <w:rPr>
          <w:spacing w:val="-12"/>
        </w:rPr>
        <w:t> </w:t>
      </w:r>
      <w:r>
        <w:rPr/>
        <w:t>E!ther party may term!nate th!s Agreement: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76" w:after="0"/>
        <w:ind w:left="1080" w:right="0" w:hanging="359"/>
        <w:jc w:val="left"/>
        <w:rPr>
          <w:sz w:val="24"/>
        </w:rPr>
      </w:pPr>
      <w:r>
        <w:rPr>
          <w:spacing w:val="-2"/>
          <w:sz w:val="24"/>
        </w:rPr>
        <w:t>for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conven!ence,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on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n!nety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(90)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days’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wr!tteen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not!ce;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34" w:after="0"/>
        <w:ind w:left="1080" w:right="0" w:hanging="359"/>
        <w:jc w:val="left"/>
        <w:rPr>
          <w:sz w:val="24"/>
        </w:rPr>
      </w:pPr>
      <w:r>
        <w:rPr>
          <w:sz w:val="24"/>
        </w:rPr>
        <w:t>for</w:t>
      </w:r>
      <w:r>
        <w:rPr>
          <w:spacing w:val="-14"/>
          <w:sz w:val="24"/>
        </w:rPr>
        <w:t> </w:t>
      </w:r>
      <w:r>
        <w:rPr>
          <w:sz w:val="24"/>
        </w:rPr>
        <w:t>mater!al</w:t>
      </w:r>
      <w:r>
        <w:rPr>
          <w:spacing w:val="-14"/>
          <w:sz w:val="24"/>
        </w:rPr>
        <w:t> </w:t>
      </w:r>
      <w:r>
        <w:rPr>
          <w:sz w:val="24"/>
        </w:rPr>
        <w:t>breach</w:t>
      </w:r>
      <w:r>
        <w:rPr>
          <w:spacing w:val="-14"/>
          <w:sz w:val="24"/>
        </w:rPr>
        <w:t> </w:t>
      </w:r>
      <w:r>
        <w:rPr>
          <w:sz w:val="24"/>
        </w:rPr>
        <w:t>that</w:t>
      </w:r>
      <w:r>
        <w:rPr>
          <w:spacing w:val="-13"/>
          <w:sz w:val="24"/>
        </w:rPr>
        <w:t> </w:t>
      </w:r>
      <w:r>
        <w:rPr>
          <w:sz w:val="24"/>
        </w:rPr>
        <w:t>rema!ns</w:t>
      </w:r>
      <w:r>
        <w:rPr>
          <w:spacing w:val="-13"/>
          <w:sz w:val="24"/>
        </w:rPr>
        <w:t> </w:t>
      </w:r>
      <w:r>
        <w:rPr>
          <w:sz w:val="24"/>
        </w:rPr>
        <w:t>uncured</w:t>
      </w:r>
      <w:r>
        <w:rPr>
          <w:spacing w:val="-14"/>
          <w:sz w:val="24"/>
        </w:rPr>
        <w:t> </w:t>
      </w:r>
      <w:r>
        <w:rPr>
          <w:sz w:val="24"/>
        </w:rPr>
        <w:t>th!rty</w:t>
      </w:r>
      <w:r>
        <w:rPr>
          <w:spacing w:val="-13"/>
          <w:sz w:val="24"/>
        </w:rPr>
        <w:t> </w:t>
      </w:r>
      <w:r>
        <w:rPr>
          <w:sz w:val="24"/>
        </w:rPr>
        <w:t>(30)</w:t>
      </w:r>
      <w:r>
        <w:rPr>
          <w:spacing w:val="-13"/>
          <w:sz w:val="24"/>
        </w:rPr>
        <w:t> </w:t>
      </w:r>
      <w:r>
        <w:rPr>
          <w:sz w:val="24"/>
        </w:rPr>
        <w:t>days</w:t>
      </w:r>
      <w:r>
        <w:rPr>
          <w:spacing w:val="-14"/>
          <w:sz w:val="24"/>
        </w:rPr>
        <w:t> </w:t>
      </w:r>
      <w:r>
        <w:rPr>
          <w:sz w:val="24"/>
        </w:rPr>
        <w:t>afteer</w:t>
      </w:r>
      <w:r>
        <w:rPr>
          <w:spacing w:val="-14"/>
          <w:sz w:val="24"/>
        </w:rPr>
        <w:t> </w:t>
      </w:r>
      <w:r>
        <w:rPr>
          <w:sz w:val="24"/>
        </w:rPr>
        <w:t>wr!tteen</w:t>
      </w:r>
      <w:r>
        <w:rPr>
          <w:spacing w:val="-14"/>
          <w:sz w:val="24"/>
        </w:rPr>
        <w:t> </w:t>
      </w:r>
      <w:r>
        <w:rPr>
          <w:sz w:val="24"/>
        </w:rPr>
        <w:t>not!ce;</w:t>
      </w:r>
      <w:r>
        <w:rPr>
          <w:spacing w:val="-13"/>
          <w:sz w:val="24"/>
        </w:rPr>
        <w:t> </w:t>
      </w:r>
      <w:r>
        <w:rPr>
          <w:spacing w:val="-5"/>
          <w:sz w:val="24"/>
        </w:rPr>
        <w:t>or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34" w:after="0"/>
        <w:ind w:left="1081" w:right="999" w:hanging="360"/>
        <w:jc w:val="left"/>
        <w:rPr>
          <w:sz w:val="24"/>
        </w:rPr>
      </w:pPr>
      <w:r>
        <w:rPr>
          <w:sz w:val="24"/>
        </w:rPr>
        <w:t>!mmed!ately, !f the other party becomes !nsolvent or makes an ass!gnment for the benefict of cred!tors.</w:t>
      </w:r>
    </w:p>
    <w:p>
      <w:pPr>
        <w:pStyle w:val="BodyText"/>
        <w:spacing w:before="176"/>
        <w:ind w:left="361"/>
      </w:pPr>
      <w:r>
        <w:rPr/>
        <w:t>Sect!ons</w:t>
      </w:r>
      <w:r>
        <w:rPr>
          <w:spacing w:val="-4"/>
        </w:rPr>
        <w:t> </w:t>
      </w:r>
      <w:r>
        <w:rPr/>
        <w:t>4,</w:t>
      </w:r>
      <w:r>
        <w:rPr>
          <w:spacing w:val="-3"/>
        </w:rPr>
        <w:t> </w:t>
      </w:r>
      <w:r>
        <w:rPr/>
        <w:t>2,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7</w:t>
      </w:r>
      <w:r>
        <w:rPr>
          <w:spacing w:val="-3"/>
        </w:rPr>
        <w:t> </w:t>
      </w:r>
      <w:r>
        <w:rPr/>
        <w:t>surv!ve</w:t>
      </w:r>
      <w:r>
        <w:rPr>
          <w:spacing w:val="-4"/>
        </w:rPr>
        <w:t> </w:t>
      </w:r>
      <w:r>
        <w:rPr/>
        <w:t>any</w:t>
      </w:r>
      <w:r>
        <w:rPr>
          <w:spacing w:val="-3"/>
        </w:rPr>
        <w:t> </w:t>
      </w:r>
      <w:r>
        <w:rPr/>
        <w:t>exp!rat!on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term!nat!on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th!s</w:t>
      </w:r>
      <w:r>
        <w:rPr>
          <w:spacing w:val="-5"/>
        </w:rPr>
        <w:t> </w:t>
      </w:r>
      <w:r>
        <w:rPr>
          <w:spacing w:val="-2"/>
        </w:rPr>
        <w:t>Agreement</w:t>
      </w:r>
      <w:bookmarkStart w:name="_bookmark4" w:id="5"/>
      <w:bookmarkEnd w:id="5"/>
      <w:r>
        <w:rPr>
          <w:spacing w:val="-2"/>
        </w:rPr>
        <w:t>.</w:t>
      </w:r>
      <w:hyperlink w:history="true" w:anchor="_bookmark5">
        <w:r>
          <w:rPr>
            <w:spacing w:val="-2"/>
            <w:vertAlign w:val="superscript"/>
          </w:rPr>
          <w:t>1</w:t>
        </w:r>
      </w:hyperlink>
    </w:p>
    <w:p>
      <w:pPr>
        <w:pStyle w:val="BodyText"/>
        <w:spacing w:before="76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1"/>
          <w:spacing w:val="-2"/>
        </w:rPr>
        <w:t>Co"finde"tiality</w:t>
      </w:r>
    </w:p>
    <w:p>
      <w:pPr>
        <w:pStyle w:val="BodyText"/>
        <w:spacing w:before="183"/>
        <w:ind w:left="361" w:right="323"/>
      </w:pPr>
      <w:r>
        <w:rPr/>
        <w:t>Each party w!ll protect the other party’s Conficdent!al Informat!on w!th at least the same degree of care !t uses for !ts own, and no less than reasonable care. A rece!v!ng party may d!sclose Conficdent!al Informat!on to !ts employees and contractors who need to know !t and who are bound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wr!tteen</w:t>
      </w:r>
      <w:r>
        <w:rPr>
          <w:spacing w:val="-2"/>
        </w:rPr>
        <w:t> </w:t>
      </w:r>
      <w:r>
        <w:rPr/>
        <w:t>obl!gat!ons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least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protect!ve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these. Thie</w:t>
      </w:r>
      <w:r>
        <w:rPr>
          <w:spacing w:val="-1"/>
        </w:rPr>
        <w:t> </w:t>
      </w:r>
      <w:r>
        <w:rPr/>
        <w:t>obl!gat!ons</w:t>
      </w:r>
      <w:r>
        <w:rPr>
          <w:spacing w:val="-1"/>
        </w:rPr>
        <w:t> </w:t>
      </w:r>
      <w:r>
        <w:rPr/>
        <w:t>!n</w:t>
      </w:r>
      <w:r>
        <w:rPr>
          <w:spacing w:val="-2"/>
        </w:rPr>
        <w:t> </w:t>
      </w:r>
      <w:r>
        <w:rPr/>
        <w:t>th!s</w:t>
      </w:r>
      <w:r>
        <w:rPr>
          <w:spacing w:val="-2"/>
        </w:rPr>
        <w:t> </w:t>
      </w:r>
      <w:r>
        <w:rPr/>
        <w:t>Sect!on</w:t>
      </w:r>
      <w:r>
        <w:rPr>
          <w:spacing w:val="-2"/>
        </w:rPr>
        <w:t> </w:t>
      </w:r>
      <w:r>
        <w:rPr/>
        <w:t>last for</w:t>
      </w:r>
      <w:r>
        <w:rPr>
          <w:spacing w:val="-3"/>
        </w:rPr>
        <w:t> </w:t>
      </w:r>
      <w:r>
        <w:rPr/>
        <w:t>ficve</w:t>
      </w:r>
      <w:r>
        <w:rPr>
          <w:spacing w:val="-4"/>
        </w:rPr>
        <w:t> </w:t>
      </w:r>
      <w:r>
        <w:rPr/>
        <w:t>(2)</w:t>
      </w:r>
      <w:r>
        <w:rPr>
          <w:spacing w:val="-4"/>
        </w:rPr>
        <w:t> </w:t>
      </w:r>
      <w:r>
        <w:rPr/>
        <w:t>years</w:t>
      </w:r>
      <w:r>
        <w:rPr>
          <w:spacing w:val="-4"/>
        </w:rPr>
        <w:t> </w:t>
      </w:r>
      <w:r>
        <w:rPr/>
        <w:t>afteer</w:t>
      </w:r>
      <w:r>
        <w:rPr>
          <w:spacing w:val="-4"/>
        </w:rPr>
        <w:t> </w:t>
      </w:r>
      <w:r>
        <w:rPr/>
        <w:t>term!nat!on,</w:t>
      </w:r>
      <w:r>
        <w:rPr>
          <w:spacing w:val="-4"/>
        </w:rPr>
        <w:t> </w:t>
      </w:r>
      <w:r>
        <w:rPr/>
        <w:t>except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trade</w:t>
      </w:r>
      <w:r>
        <w:rPr>
          <w:spacing w:val="-4"/>
        </w:rPr>
        <w:t> </w:t>
      </w:r>
      <w:r>
        <w:rPr/>
        <w:t>secrets,</w:t>
      </w:r>
      <w:r>
        <w:rPr>
          <w:spacing w:val="-4"/>
        </w:rPr>
        <w:t> </w:t>
      </w:r>
      <w:r>
        <w:rPr/>
        <w:t>wh!ch</w:t>
      </w:r>
      <w:r>
        <w:rPr>
          <w:spacing w:val="-4"/>
        </w:rPr>
        <w:t> </w:t>
      </w:r>
      <w:r>
        <w:rPr/>
        <w:t>rema!n</w:t>
      </w:r>
      <w:r>
        <w:rPr>
          <w:spacing w:val="-4"/>
        </w:rPr>
        <w:t> </w:t>
      </w:r>
      <w:r>
        <w:rPr/>
        <w:t>protected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long as they qual!fy as trade secrets under appl!cable law.</w:t>
      </w:r>
    </w:p>
    <w:p>
      <w:pPr>
        <w:pStyle w:val="BodyText"/>
        <w:spacing w:before="65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0" w:after="0"/>
        <w:ind w:left="1081" w:right="0" w:hanging="720"/>
        <w:jc w:val="left"/>
      </w:pPr>
      <w:r>
        <w:rPr>
          <w:color w:val="0E4661"/>
        </w:rPr>
        <w:t>Limitatio"</w:t>
      </w:r>
      <w:r>
        <w:rPr>
          <w:color w:val="0E4661"/>
          <w:spacing w:val="11"/>
        </w:rPr>
        <w:t> </w:t>
      </w:r>
      <w:r>
        <w:rPr>
          <w:color w:val="0E4661"/>
        </w:rPr>
        <w:t>of</w:t>
      </w:r>
      <w:r>
        <w:rPr>
          <w:color w:val="0E4661"/>
          <w:spacing w:val="11"/>
        </w:rPr>
        <w:t> </w:t>
      </w:r>
      <w:r>
        <w:rPr>
          <w:color w:val="0E4661"/>
          <w:spacing w:val="-2"/>
        </w:rPr>
        <w:t>Liability</w:t>
      </w:r>
    </w:p>
    <w:p>
      <w:pPr>
        <w:pStyle w:val="BodyText"/>
        <w:spacing w:before="183"/>
        <w:ind w:left="361" w:right="864"/>
      </w:pPr>
      <w:r>
        <w:rPr>
          <w:spacing w:val="-10"/>
        </w:rPr>
        <w:t>EXCEPT</w:t>
      </w:r>
      <w:r>
        <w:rPr>
          <w:spacing w:val="-2"/>
        </w:rPr>
        <w:t> </w:t>
      </w:r>
      <w:r>
        <w:rPr>
          <w:spacing w:val="-10"/>
        </w:rPr>
        <w:t>FOR</w:t>
      </w:r>
      <w:r>
        <w:rPr>
          <w:spacing w:val="-1"/>
        </w:rPr>
        <w:t> </w:t>
      </w:r>
      <w:r>
        <w:rPr>
          <w:spacing w:val="-10"/>
        </w:rPr>
        <w:t>BREACHES</w:t>
      </w:r>
      <w:r>
        <w:rPr>
          <w:spacing w:val="-2"/>
        </w:rPr>
        <w:t> </w:t>
      </w:r>
      <w:r>
        <w:rPr>
          <w:spacing w:val="-10"/>
        </w:rPr>
        <w:t>OF</w:t>
      </w:r>
      <w:r>
        <w:rPr>
          <w:spacing w:val="-1"/>
        </w:rPr>
        <w:t> </w:t>
      </w:r>
      <w:r>
        <w:rPr>
          <w:spacing w:val="-10"/>
        </w:rPr>
        <w:t>SECTION</w:t>
      </w:r>
      <w:r>
        <w:rPr>
          <w:spacing w:val="-2"/>
        </w:rPr>
        <w:t> </w:t>
      </w:r>
      <w:r>
        <w:rPr>
          <w:spacing w:val="-10"/>
        </w:rPr>
        <w:t>4,</w:t>
      </w:r>
      <w:r>
        <w:rPr>
          <w:spacing w:val="-1"/>
        </w:rPr>
        <w:t> </w:t>
      </w:r>
      <w:r>
        <w:rPr>
          <w:spacing w:val="-10"/>
        </w:rPr>
        <w:t>NEITHER</w:t>
      </w:r>
      <w:r>
        <w:rPr>
          <w:spacing w:val="-1"/>
        </w:rPr>
        <w:t> </w:t>
      </w:r>
      <w:r>
        <w:rPr>
          <w:spacing w:val="-10"/>
        </w:rPr>
        <w:t>PARTY</w:t>
      </w:r>
      <w:r>
        <w:rPr>
          <w:spacing w:val="-2"/>
        </w:rPr>
        <w:t> </w:t>
      </w:r>
      <w:r>
        <w:rPr>
          <w:spacing w:val="-10"/>
        </w:rPr>
        <w:t>WILL</w:t>
      </w:r>
      <w:r>
        <w:rPr>
          <w:spacing w:val="-2"/>
        </w:rPr>
        <w:t> </w:t>
      </w:r>
      <w:r>
        <w:rPr>
          <w:spacing w:val="-10"/>
        </w:rPr>
        <w:t>BE</w:t>
      </w:r>
      <w:r>
        <w:rPr>
          <w:spacing w:val="-1"/>
        </w:rPr>
        <w:t> </w:t>
      </w:r>
      <w:r>
        <w:rPr>
          <w:spacing w:val="-10"/>
        </w:rPr>
        <w:t>LIABLE</w:t>
      </w:r>
      <w:r>
        <w:rPr>
          <w:spacing w:val="-1"/>
        </w:rPr>
        <w:t> </w:t>
      </w:r>
      <w:r>
        <w:rPr>
          <w:spacing w:val="-10"/>
        </w:rPr>
        <w:t>FOR</w:t>
      </w:r>
      <w:r>
        <w:rPr>
          <w:spacing w:val="-1"/>
        </w:rPr>
        <w:t> </w:t>
      </w:r>
      <w:r>
        <w:rPr>
          <w:spacing w:val="-10"/>
        </w:rPr>
        <w:t>ANY </w:t>
      </w:r>
      <w:r>
        <w:rPr>
          <w:spacing w:val="-8"/>
        </w:rPr>
        <w:t>INDIRECT,</w:t>
      </w:r>
      <w:r>
        <w:rPr>
          <w:spacing w:val="-7"/>
        </w:rPr>
        <w:t> </w:t>
      </w:r>
      <w:r>
        <w:rPr>
          <w:spacing w:val="-8"/>
        </w:rPr>
        <w:t>INCIDENTAL,</w:t>
      </w:r>
      <w:r>
        <w:rPr>
          <w:spacing w:val="-7"/>
        </w:rPr>
        <w:t> </w:t>
      </w:r>
      <w:r>
        <w:rPr>
          <w:spacing w:val="-8"/>
        </w:rPr>
        <w:t>SPECIAL,</w:t>
      </w:r>
      <w:r>
        <w:rPr>
          <w:spacing w:val="-7"/>
        </w:rPr>
        <w:t> </w:t>
      </w:r>
      <w:r>
        <w:rPr>
          <w:spacing w:val="-8"/>
        </w:rPr>
        <w:t>OR</w:t>
      </w:r>
      <w:r>
        <w:rPr>
          <w:spacing w:val="-7"/>
        </w:rPr>
        <w:t> </w:t>
      </w:r>
      <w:r>
        <w:rPr>
          <w:spacing w:val="-8"/>
        </w:rPr>
        <w:t>CONSEQUENTIAL</w:t>
      </w:r>
      <w:r>
        <w:rPr>
          <w:spacing w:val="-7"/>
        </w:rPr>
        <w:t> </w:t>
      </w:r>
      <w:r>
        <w:rPr>
          <w:spacing w:val="-8"/>
        </w:rPr>
        <w:t>DAMAGES.</w:t>
      </w:r>
      <w:r>
        <w:rPr>
          <w:spacing w:val="-7"/>
        </w:rPr>
        <w:t> </w:t>
      </w:r>
      <w:r>
        <w:rPr>
          <w:spacing w:val="-8"/>
        </w:rPr>
        <w:t>EACH</w:t>
      </w:r>
      <w:r>
        <w:rPr>
          <w:spacing w:val="-7"/>
        </w:rPr>
        <w:t> </w:t>
      </w:r>
      <w:r>
        <w:rPr>
          <w:spacing w:val="-8"/>
        </w:rPr>
        <w:t>PARTY’S </w:t>
      </w:r>
      <w:r>
        <w:rPr>
          <w:w w:val="90"/>
        </w:rPr>
        <w:t>TOTAL</w:t>
      </w:r>
      <w:r>
        <w:rPr/>
        <w:t> </w:t>
      </w:r>
      <w:r>
        <w:rPr>
          <w:w w:val="90"/>
        </w:rPr>
        <w:t>LIABILITY</w:t>
      </w:r>
      <w:r>
        <w:rPr/>
        <w:t> </w:t>
      </w:r>
      <w:r>
        <w:rPr>
          <w:w w:val="90"/>
        </w:rPr>
        <w:t>UNDER</w:t>
      </w:r>
      <w:r>
        <w:rPr/>
        <w:t> </w:t>
      </w:r>
      <w:r>
        <w:rPr>
          <w:w w:val="90"/>
        </w:rPr>
        <w:t>THIS</w:t>
      </w:r>
      <w:r>
        <w:rPr/>
        <w:t> </w:t>
      </w:r>
      <w:r>
        <w:rPr>
          <w:w w:val="90"/>
        </w:rPr>
        <w:t>AGREEMENT</w:t>
      </w:r>
      <w:r>
        <w:rPr/>
        <w:t> </w:t>
      </w:r>
      <w:r>
        <w:rPr>
          <w:w w:val="90"/>
        </w:rPr>
        <w:t>WILL</w:t>
      </w:r>
      <w:r>
        <w:rPr/>
        <w:t> </w:t>
      </w:r>
      <w:r>
        <w:rPr>
          <w:w w:val="90"/>
        </w:rPr>
        <w:t>NOT</w:t>
      </w:r>
      <w:r>
        <w:rPr/>
        <w:t> </w:t>
      </w:r>
      <w:r>
        <w:rPr>
          <w:w w:val="90"/>
        </w:rPr>
        <w:t>EXCEED</w:t>
      </w:r>
      <w:r>
        <w:rPr/>
        <w:t> </w:t>
      </w:r>
      <w:r>
        <w:rPr>
          <w:w w:val="90"/>
        </w:rPr>
        <w:t>THE</w:t>
      </w:r>
      <w:r>
        <w:rPr/>
        <w:t> </w:t>
      </w:r>
      <w:r>
        <w:rPr>
          <w:w w:val="90"/>
        </w:rPr>
        <w:t>FEES</w:t>
      </w:r>
      <w:r>
        <w:rPr/>
        <w:t> </w:t>
      </w:r>
      <w:r>
        <w:rPr>
          <w:w w:val="90"/>
        </w:rPr>
        <w:t>PAID</w:t>
      </w:r>
      <w:r>
        <w:rPr/>
        <w:t> </w:t>
      </w:r>
      <w:r>
        <w:rPr>
          <w:w w:val="90"/>
        </w:rPr>
        <w:t>OR</w:t>
      </w:r>
      <w:r>
        <w:rPr>
          <w:spacing w:val="80"/>
        </w:rPr>
        <w:t> </w:t>
      </w:r>
      <w:r>
        <w:rPr>
          <w:spacing w:val="-6"/>
        </w:rPr>
        <w:t>PAYABLE</w:t>
      </w:r>
      <w:r>
        <w:rPr>
          <w:spacing w:val="-9"/>
        </w:rPr>
        <w:t> </w:t>
      </w:r>
      <w:r>
        <w:rPr>
          <w:spacing w:val="-6"/>
        </w:rPr>
        <w:t>IN</w:t>
      </w:r>
      <w:r>
        <w:rPr>
          <w:spacing w:val="-9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TWELVE</w:t>
      </w:r>
      <w:r>
        <w:rPr>
          <w:spacing w:val="-9"/>
        </w:rPr>
        <w:t> </w:t>
      </w:r>
      <w:r>
        <w:rPr>
          <w:spacing w:val="-6"/>
        </w:rPr>
        <w:t>(12)</w:t>
      </w:r>
      <w:r>
        <w:rPr>
          <w:spacing w:val="-9"/>
        </w:rPr>
        <w:t> </w:t>
      </w:r>
      <w:r>
        <w:rPr>
          <w:spacing w:val="-6"/>
        </w:rPr>
        <w:t>MONTHS</w:t>
      </w:r>
      <w:r>
        <w:rPr>
          <w:spacing w:val="-8"/>
        </w:rPr>
        <w:t> </w:t>
      </w:r>
      <w:r>
        <w:rPr>
          <w:spacing w:val="-6"/>
        </w:rPr>
        <w:t>BEFORE</w:t>
      </w:r>
      <w:r>
        <w:rPr>
          <w:spacing w:val="-9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CLAIM</w:t>
      </w:r>
      <w:r>
        <w:rPr>
          <w:spacing w:val="-9"/>
        </w:rPr>
        <w:t> </w:t>
      </w:r>
      <w:r>
        <w:rPr>
          <w:spacing w:val="-6"/>
        </w:rPr>
        <w:t>AROSE.</w:t>
      </w:r>
    </w:p>
    <w:p>
      <w:pPr>
        <w:pStyle w:val="BodyText"/>
        <w:spacing w:before="69"/>
      </w:pPr>
    </w:p>
    <w:p>
      <w:pPr>
        <w:pStyle w:val="Heading1"/>
        <w:numPr>
          <w:ilvl w:val="0"/>
          <w:numId w:val="1"/>
        </w:numPr>
        <w:tabs>
          <w:tab w:pos="1081" w:val="left" w:leader="none"/>
        </w:tabs>
        <w:spacing w:line="240" w:lineRule="auto" w:before="1" w:after="0"/>
        <w:ind w:left="1081" w:right="0" w:hanging="720"/>
        <w:jc w:val="left"/>
      </w:pPr>
      <w:r>
        <w:rPr>
          <w:color w:val="0E4661"/>
          <w:spacing w:val="-2"/>
          <w:w w:val="105"/>
        </w:rPr>
        <w:t>Ge"eral</w:t>
      </w:r>
    </w:p>
    <w:p>
      <w:pPr>
        <w:pStyle w:val="BodyText"/>
        <w:spacing w:line="275" w:lineRule="exact" w:before="182"/>
        <w:ind w:left="361"/>
      </w:pPr>
      <w:r>
        <w:rPr/>
        <w:t>Thi!s</w:t>
      </w:r>
      <w:r>
        <w:rPr>
          <w:spacing w:val="-6"/>
        </w:rPr>
        <w:t> </w:t>
      </w:r>
      <w:r>
        <w:rPr/>
        <w:t>Agreement</w:t>
      </w:r>
      <w:r>
        <w:rPr>
          <w:spacing w:val="-5"/>
        </w:rPr>
        <w:t> </w:t>
      </w:r>
      <w:r>
        <w:rPr/>
        <w:t>!s</w:t>
      </w:r>
      <w:r>
        <w:rPr>
          <w:spacing w:val="-5"/>
        </w:rPr>
        <w:t> </w:t>
      </w:r>
      <w:r>
        <w:rPr/>
        <w:t>governed</w:t>
      </w:r>
      <w:r>
        <w:rPr>
          <w:spacing w:val="-6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laws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Commonwealth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V!rg!n!a,</w:t>
      </w:r>
      <w:r>
        <w:rPr>
          <w:spacing w:val="-6"/>
        </w:rPr>
        <w:t> </w:t>
      </w:r>
      <w:r>
        <w:rPr/>
        <w:t>w!thout</w:t>
      </w:r>
      <w:r>
        <w:rPr>
          <w:spacing w:val="-5"/>
        </w:rPr>
        <w:t> </w:t>
      </w:r>
      <w:r>
        <w:rPr/>
        <w:t>regard</w:t>
      </w:r>
      <w:r>
        <w:rPr>
          <w:spacing w:val="-7"/>
        </w:rPr>
        <w:t> </w:t>
      </w:r>
      <w:r>
        <w:rPr>
          <w:spacing w:val="-5"/>
        </w:rPr>
        <w:t>to</w:t>
      </w:r>
    </w:p>
    <w:p>
      <w:pPr>
        <w:pStyle w:val="BodyText"/>
        <w:ind w:left="361" w:right="323"/>
      </w:pPr>
      <w:r>
        <w:rPr/>
        <w:t>!ts</w:t>
      </w:r>
      <w:r>
        <w:rPr>
          <w:spacing w:val="-11"/>
        </w:rPr>
        <w:t> </w:t>
      </w:r>
      <w:r>
        <w:rPr/>
        <w:t>confli!ct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laws</w:t>
      </w:r>
      <w:r>
        <w:rPr>
          <w:spacing w:val="-11"/>
        </w:rPr>
        <w:t> </w:t>
      </w:r>
      <w:r>
        <w:rPr/>
        <w:t>rules.</w:t>
      </w:r>
      <w:r>
        <w:rPr>
          <w:spacing w:val="-10"/>
        </w:rPr>
        <w:t> </w:t>
      </w:r>
      <w:r>
        <w:rPr/>
        <w:t>Thi!s</w:t>
      </w:r>
      <w:r>
        <w:rPr>
          <w:spacing w:val="-11"/>
        </w:rPr>
        <w:t> </w:t>
      </w:r>
      <w:r>
        <w:rPr/>
        <w:t>Agreement,</w:t>
      </w:r>
      <w:r>
        <w:rPr>
          <w:spacing w:val="-11"/>
        </w:rPr>
        <w:t> </w:t>
      </w:r>
      <w:r>
        <w:rPr/>
        <w:t>together</w:t>
      </w:r>
      <w:r>
        <w:rPr>
          <w:spacing w:val="-12"/>
        </w:rPr>
        <w:t> </w:t>
      </w:r>
      <w:r>
        <w:rPr/>
        <w:t>w!th</w:t>
      </w:r>
      <w:r>
        <w:rPr>
          <w:spacing w:val="-12"/>
        </w:rPr>
        <w:t> </w:t>
      </w:r>
      <w:r>
        <w:rPr/>
        <w:t>each</w:t>
      </w:r>
      <w:r>
        <w:rPr>
          <w:spacing w:val="-12"/>
        </w:rPr>
        <w:t> </w:t>
      </w:r>
      <w:r>
        <w:rPr/>
        <w:t>SOW,</w:t>
      </w:r>
      <w:r>
        <w:rPr>
          <w:spacing w:val="-10"/>
        </w:rPr>
        <w:t> </w:t>
      </w:r>
      <w:r>
        <w:rPr/>
        <w:t>!s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ent!re</w:t>
      </w:r>
      <w:r>
        <w:rPr>
          <w:spacing w:val="-12"/>
        </w:rPr>
        <w:t> </w:t>
      </w:r>
      <w:r>
        <w:rPr/>
        <w:t>agreement between the part!es on !ts subject and supersedes all pr!or proposals and understand!ngs.</w:t>
      </w:r>
    </w:p>
    <w:p>
      <w:pPr>
        <w:pStyle w:val="BodyText"/>
        <w:spacing w:before="175"/>
        <w:ind w:left="361"/>
      </w:pP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2"/>
        </w:rPr>
        <w:t>WITNESS</w:t>
      </w:r>
      <w:r>
        <w:rPr>
          <w:spacing w:val="-8"/>
        </w:rPr>
        <w:t> </w:t>
      </w:r>
      <w:r>
        <w:rPr>
          <w:spacing w:val="-2"/>
        </w:rPr>
        <w:t>WHEREOF,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part!es</w:t>
      </w:r>
      <w:r>
        <w:rPr>
          <w:spacing w:val="-8"/>
        </w:rPr>
        <w:t> </w:t>
      </w:r>
      <w:r>
        <w:rPr>
          <w:spacing w:val="-2"/>
        </w:rPr>
        <w:t>have</w:t>
      </w:r>
      <w:r>
        <w:rPr>
          <w:spacing w:val="-8"/>
        </w:rPr>
        <w:t> </w:t>
      </w:r>
      <w:r>
        <w:rPr>
          <w:spacing w:val="-2"/>
        </w:rPr>
        <w:t>executed</w:t>
      </w:r>
      <w:r>
        <w:rPr>
          <w:spacing w:val="-7"/>
        </w:rPr>
        <w:t> </w:t>
      </w:r>
      <w:r>
        <w:rPr>
          <w:spacing w:val="-2"/>
        </w:rPr>
        <w:t>th!s</w:t>
      </w:r>
      <w:r>
        <w:rPr>
          <w:spacing w:val="-8"/>
        </w:rPr>
        <w:t> </w:t>
      </w:r>
      <w:r>
        <w:rPr>
          <w:spacing w:val="-2"/>
        </w:rPr>
        <w:t>Agreement</w:t>
      </w:r>
      <w:r>
        <w:rPr>
          <w:spacing w:val="-7"/>
        </w:rPr>
        <w:t> </w:t>
      </w:r>
      <w:r>
        <w:rPr>
          <w:spacing w:val="-2"/>
        </w:rPr>
        <w:t>as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Effeect!ve</w:t>
      </w:r>
      <w:r>
        <w:rPr>
          <w:spacing w:val="-8"/>
        </w:rPr>
        <w:t> </w:t>
      </w:r>
      <w:r>
        <w:rPr>
          <w:spacing w:val="-2"/>
        </w:rPr>
        <w:t>Date.</w:t>
      </w:r>
    </w:p>
    <w:p>
      <w:pPr>
        <w:pStyle w:val="Heading3"/>
        <w:tabs>
          <w:tab w:pos="5149" w:val="left" w:leader="none"/>
        </w:tabs>
      </w:pPr>
      <w:r>
        <w:rPr>
          <w:w w:val="90"/>
        </w:rPr>
        <w:t>HALVORSEN</w:t>
      </w:r>
      <w:r>
        <w:rPr>
          <w:spacing w:val="42"/>
        </w:rPr>
        <w:t> </w:t>
      </w:r>
      <w:r>
        <w:rPr>
          <w:w w:val="90"/>
        </w:rPr>
        <w:t>MARINE</w:t>
      </w:r>
      <w:r>
        <w:rPr>
          <w:spacing w:val="40"/>
        </w:rPr>
        <w:t> </w:t>
      </w:r>
      <w:r>
        <w:rPr>
          <w:w w:val="90"/>
        </w:rPr>
        <w:t>LOGISTICS,</w:t>
      </w:r>
      <w:r>
        <w:rPr>
          <w:spacing w:val="42"/>
        </w:rPr>
        <w:t> </w:t>
      </w:r>
      <w:r>
        <w:rPr>
          <w:spacing w:val="-4"/>
          <w:w w:val="90"/>
        </w:rPr>
        <w:t>INC.</w:t>
      </w:r>
      <w:r>
        <w:rPr/>
        <w:tab/>
      </w:r>
      <w:r>
        <w:rPr>
          <w:spacing w:val="2"/>
          <w:w w:val="90"/>
        </w:rPr>
        <w:t>BRIGHTWATER</w:t>
      </w:r>
      <w:r>
        <w:rPr>
          <w:spacing w:val="34"/>
        </w:rPr>
        <w:t> </w:t>
      </w:r>
      <w:r>
        <w:rPr>
          <w:spacing w:val="2"/>
          <w:w w:val="90"/>
        </w:rPr>
        <w:t>ANALYTICS</w:t>
      </w:r>
      <w:r>
        <w:rPr>
          <w:spacing w:val="34"/>
        </w:rPr>
        <w:t> </w:t>
      </w:r>
      <w:r>
        <w:rPr>
          <w:spacing w:val="-5"/>
          <w:w w:val="90"/>
        </w:rPr>
        <w:t>LLC</w:t>
      </w:r>
    </w:p>
    <w:p>
      <w:pPr>
        <w:pStyle w:val="BodyText"/>
        <w:tabs>
          <w:tab w:pos="4167" w:val="left" w:leader="none"/>
          <w:tab w:pos="5149" w:val="left" w:leader="none"/>
          <w:tab w:pos="8847" w:val="left" w:leader="none"/>
        </w:tabs>
        <w:spacing w:before="219"/>
        <w:ind w:left="470"/>
      </w:pPr>
      <w:r>
        <w:rPr/>
        <w:t>By: </w:t>
      </w:r>
      <w:r>
        <w:rPr>
          <w:u w:val="single"/>
        </w:rPr>
        <w:tab/>
      </w:r>
      <w:r>
        <w:rPr>
          <w:u w:val="none"/>
        </w:rPr>
        <w:tab/>
        <w:t>By: </w:t>
      </w:r>
      <w:r>
        <w:rPr>
          <w:u w:val="single"/>
        </w:rPr>
        <w:tab/>
      </w:r>
    </w:p>
    <w:p>
      <w:pPr>
        <w:pStyle w:val="BodyText"/>
        <w:tabs>
          <w:tab w:pos="5149" w:val="left" w:leader="none"/>
        </w:tabs>
        <w:spacing w:before="198"/>
        <w:ind w:left="470"/>
      </w:pPr>
      <w:r>
        <w:rPr>
          <w:spacing w:val="-2"/>
        </w:rPr>
        <w:t>Ingr!d Halvorsen,</w:t>
      </w:r>
      <w:r>
        <w:rPr>
          <w:spacing w:val="-1"/>
        </w:rPr>
        <w:t> </w:t>
      </w:r>
      <w:r>
        <w:rPr>
          <w:spacing w:val="-2"/>
        </w:rPr>
        <w:t>Ch!ef</w:t>
      </w:r>
      <w:r>
        <w:rPr/>
        <w:t> </w:t>
      </w:r>
      <w:r>
        <w:rPr>
          <w:spacing w:val="-2"/>
        </w:rPr>
        <w:t>Execut!ve Officcer</w:t>
      </w:r>
      <w:r>
        <w:rPr/>
        <w:tab/>
      </w:r>
      <w:r>
        <w:rPr>
          <w:spacing w:val="-2"/>
        </w:rPr>
        <w:t>Tomas</w:t>
      </w:r>
      <w:r>
        <w:rPr>
          <w:spacing w:val="-3"/>
        </w:rPr>
        <w:t> </w:t>
      </w:r>
      <w:r>
        <w:rPr>
          <w:spacing w:val="-2"/>
        </w:rPr>
        <w:t>Okafor-Reyes,</w:t>
      </w:r>
      <w:r>
        <w:rPr>
          <w:spacing w:val="-1"/>
        </w:rPr>
        <w:t> </w:t>
      </w:r>
      <w:r>
        <w:rPr>
          <w:spacing w:val="-2"/>
        </w:rPr>
        <w:t>Manag!ng Member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913764</wp:posOffset>
                </wp:positionH>
                <wp:positionV relativeFrom="paragraph">
                  <wp:posOffset>267005</wp:posOffset>
                </wp:positionV>
                <wp:extent cx="1830070" cy="762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830070" cy="7620"/>
                          <a:chExt cx="1830070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" y="635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0" y="6349"/>
                                </a:moveTo>
                                <a:lnTo>
                                  <a:pt x="1828800" y="6349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949997pt;margin-top:21.024033pt;width:144.1pt;height:.6pt;mso-position-horizontal-relative:page;mso-position-vertical-relative:paragraph;z-index:-15728128;mso-wrap-distance-left:0;mso-wrap-distance-right:0" id="docshapegroup6" coordorigin="1439,420" coordsize="2882,12">
                <v:rect style="position:absolute;left:1440;top:421;width:2880;height:10" id="docshape7" filled="true" fillcolor="#000000" stroked="false">
                  <v:fill type="solid"/>
                </v:rect>
                <v:rect style="position:absolute;left:1440;top:421;width:2880;height:10" id="docshape8" filled="false" stroked="true" strokeweight=".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0"/>
        <w:ind w:left="361" w:right="323"/>
      </w:pPr>
      <w:bookmarkStart w:name="_bookmark5" w:id="6"/>
      <w:bookmarkEnd w:id="6"/>
      <w:r>
        <w:rPr/>
      </w:r>
      <w:hyperlink w:history="true" w:anchor="_bookmark4">
        <w:r>
          <w:rPr>
            <w:vertAlign w:val="superscript"/>
          </w:rPr>
          <w:t>1</w:t>
        </w:r>
      </w:hyperlink>
      <w:r>
        <w:rPr>
          <w:spacing w:val="-13"/>
          <w:vertAlign w:val="baseline"/>
        </w:rPr>
        <w:t> </w:t>
      </w:r>
      <w:r>
        <w:rPr>
          <w:vertAlign w:val="baseline"/>
        </w:rPr>
        <w:t>For</w:t>
      </w:r>
      <w:r>
        <w:rPr>
          <w:spacing w:val="-12"/>
          <w:vertAlign w:val="baseline"/>
        </w:rPr>
        <w:t> </w:t>
      </w:r>
      <w:r>
        <w:rPr>
          <w:vertAlign w:val="baseline"/>
        </w:rPr>
        <w:t>clar!ty,</w:t>
      </w:r>
      <w:r>
        <w:rPr>
          <w:spacing w:val="-12"/>
          <w:vertAlign w:val="baseline"/>
        </w:rPr>
        <w:t> </w:t>
      </w:r>
      <w:r>
        <w:rPr>
          <w:vertAlign w:val="baseline"/>
        </w:rPr>
        <w:t>Sect!on</w:t>
      </w:r>
      <w:r>
        <w:rPr>
          <w:spacing w:val="-12"/>
          <w:vertAlign w:val="baseline"/>
        </w:rPr>
        <w:t> </w:t>
      </w:r>
      <w:r>
        <w:rPr>
          <w:vertAlign w:val="baseline"/>
        </w:rPr>
        <w:t>4</w:t>
      </w:r>
      <w:r>
        <w:rPr>
          <w:spacing w:val="-12"/>
          <w:vertAlign w:val="baseline"/>
        </w:rPr>
        <w:t> </w:t>
      </w:r>
      <w:r>
        <w:rPr>
          <w:vertAlign w:val="baseline"/>
        </w:rPr>
        <w:t>(Conficdent!al!ty)</w:t>
      </w:r>
      <w:r>
        <w:rPr>
          <w:spacing w:val="-12"/>
          <w:vertAlign w:val="baseline"/>
        </w:rPr>
        <w:t> </w:t>
      </w:r>
      <w:r>
        <w:rPr>
          <w:vertAlign w:val="baseline"/>
        </w:rPr>
        <w:t>surv!ves</w:t>
      </w:r>
      <w:r>
        <w:rPr>
          <w:spacing w:val="-12"/>
          <w:vertAlign w:val="baseline"/>
        </w:rPr>
        <w:t> </w:t>
      </w:r>
      <w:r>
        <w:rPr>
          <w:vertAlign w:val="baseline"/>
        </w:rPr>
        <w:t>for</w:t>
      </w:r>
      <w:r>
        <w:rPr>
          <w:spacing w:val="-12"/>
          <w:vertAlign w:val="baseline"/>
        </w:rPr>
        <w:t> </w:t>
      </w:r>
      <w:r>
        <w:rPr>
          <w:vertAlign w:val="baseline"/>
        </w:rPr>
        <w:t>the</w:t>
      </w:r>
      <w:r>
        <w:rPr>
          <w:spacing w:val="-12"/>
          <w:vertAlign w:val="baseline"/>
        </w:rPr>
        <w:t> </w:t>
      </w:r>
      <w:r>
        <w:rPr>
          <w:vertAlign w:val="baseline"/>
        </w:rPr>
        <w:t>per!od</w:t>
      </w:r>
      <w:r>
        <w:rPr>
          <w:spacing w:val="-12"/>
          <w:vertAlign w:val="baseline"/>
        </w:rPr>
        <w:t> </w:t>
      </w:r>
      <w:r>
        <w:rPr>
          <w:vertAlign w:val="baseline"/>
        </w:rPr>
        <w:t>stated</w:t>
      </w:r>
      <w:r>
        <w:rPr>
          <w:spacing w:val="-11"/>
          <w:vertAlign w:val="baseline"/>
        </w:rPr>
        <w:t> </w:t>
      </w:r>
      <w:r>
        <w:rPr>
          <w:vertAlign w:val="baseline"/>
        </w:rPr>
        <w:t>!n</w:t>
      </w:r>
      <w:r>
        <w:rPr>
          <w:spacing w:val="-12"/>
          <w:vertAlign w:val="baseline"/>
        </w:rPr>
        <w:t> </w:t>
      </w:r>
      <w:r>
        <w:rPr>
          <w:vertAlign w:val="baseline"/>
        </w:rPr>
        <w:t>that</w:t>
      </w:r>
      <w:r>
        <w:rPr>
          <w:spacing w:val="-12"/>
          <w:vertAlign w:val="baseline"/>
        </w:rPr>
        <w:t> </w:t>
      </w:r>
      <w:r>
        <w:rPr>
          <w:vertAlign w:val="baseline"/>
        </w:rPr>
        <w:t>Sect!on,</w:t>
      </w:r>
      <w:r>
        <w:rPr>
          <w:spacing w:val="-12"/>
          <w:vertAlign w:val="baseline"/>
        </w:rPr>
        <w:t> </w:t>
      </w:r>
      <w:r>
        <w:rPr>
          <w:vertAlign w:val="baseline"/>
        </w:rPr>
        <w:t>and payment obl!gat!ons accrued before term!nat!on surv!ve unt!l pa!d.</w:t>
      </w:r>
    </w:p>
    <w:p>
      <w:pPr>
        <w:pStyle w:val="BodyText"/>
        <w:spacing w:after="0"/>
        <w:sectPr>
          <w:pgSz w:w="12240" w:h="15840"/>
          <w:pgMar w:header="720" w:footer="994" w:top="1340" w:bottom="1180" w:left="1080" w:right="1080"/>
        </w:sectPr>
      </w:pPr>
    </w:p>
    <w:p>
      <w:pPr>
        <w:pStyle w:val="Heading1"/>
        <w:spacing w:before="434"/>
        <w:ind w:left="361" w:firstLine="0"/>
      </w:pPr>
      <w:r>
        <w:rPr>
          <w:color w:val="0E4661"/>
          <w:spacing w:val="-6"/>
        </w:rPr>
        <w:t>Q3</w:t>
      </w:r>
      <w:r>
        <w:rPr>
          <w:color w:val="0E4661"/>
          <w:spacing w:val="-15"/>
        </w:rPr>
        <w:t> </w:t>
      </w:r>
      <w:r>
        <w:rPr>
          <w:color w:val="0E4661"/>
          <w:spacing w:val="-6"/>
        </w:rPr>
        <w:t>2026</w:t>
      </w:r>
      <w:r>
        <w:rPr>
          <w:color w:val="0E4661"/>
          <w:spacing w:val="-14"/>
        </w:rPr>
        <w:t> </w:t>
      </w:r>
      <w:r>
        <w:rPr>
          <w:color w:val="0E4661"/>
          <w:spacing w:val="-6"/>
        </w:rPr>
        <w:t>Port</w:t>
      </w:r>
      <w:r>
        <w:rPr>
          <w:color w:val="0E4661"/>
          <w:spacing w:val="-11"/>
        </w:rPr>
        <w:t> </w:t>
      </w:r>
      <w:r>
        <w:rPr>
          <w:color w:val="0E4661"/>
          <w:spacing w:val="-6"/>
        </w:rPr>
        <w:t>Thrroughput</w:t>
      </w:r>
      <w:r>
        <w:rPr>
          <w:color w:val="0E4661"/>
          <w:spacing w:val="-14"/>
        </w:rPr>
        <w:t> </w:t>
      </w:r>
      <w:r>
        <w:rPr>
          <w:color w:val="0E4661"/>
          <w:spacing w:val="-6"/>
        </w:rPr>
        <w:t>Review</w:t>
      </w:r>
    </w:p>
    <w:p>
      <w:pPr>
        <w:pStyle w:val="BodyText"/>
        <w:spacing w:before="182"/>
        <w:ind w:left="361" w:right="323"/>
      </w:pPr>
      <w:r>
        <w:rPr/>
        <w:t>Container volumes at the six monitored East Coast ports rose 6.8% from the second quarter, led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Savannah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Norfolk.</w:t>
      </w:r>
      <w:r>
        <w:rPr>
          <w:spacing w:val="-14"/>
          <w:w w:val="105"/>
        </w:rPr>
        <w:t> </w:t>
      </w:r>
      <w:r>
        <w:rPr>
          <w:w w:val="105"/>
        </w:rPr>
        <w:t>Average</w:t>
      </w:r>
      <w:r>
        <w:rPr>
          <w:spacing w:val="-14"/>
          <w:w w:val="105"/>
        </w:rPr>
        <w:t> </w:t>
      </w:r>
      <w:r>
        <w:rPr>
          <w:w w:val="105"/>
        </w:rPr>
        <w:t>berth</w:t>
      </w:r>
      <w:r>
        <w:rPr>
          <w:spacing w:val="-14"/>
          <w:w w:val="105"/>
        </w:rPr>
        <w:t> </w:t>
      </w:r>
      <w:r>
        <w:rPr>
          <w:w w:val="105"/>
        </w:rPr>
        <w:t>wait</w:t>
      </w:r>
      <w:r>
        <w:rPr>
          <w:spacing w:val="-13"/>
          <w:w w:val="105"/>
        </w:rPr>
        <w:t> </w:t>
      </w:r>
      <w:r>
        <w:rPr>
          <w:w w:val="105"/>
        </w:rPr>
        <w:t>time</w:t>
      </w:r>
      <w:r>
        <w:rPr>
          <w:spacing w:val="-14"/>
          <w:w w:val="105"/>
        </w:rPr>
        <w:t> </w:t>
      </w:r>
      <w:r>
        <w:rPr>
          <w:w w:val="105"/>
        </w:rPr>
        <w:t>fell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19.4</w:t>
      </w:r>
      <w:r>
        <w:rPr>
          <w:spacing w:val="-13"/>
          <w:w w:val="105"/>
        </w:rPr>
        <w:t> </w:t>
      </w:r>
      <w:r>
        <w:rPr>
          <w:w w:val="105"/>
        </w:rPr>
        <w:t>hours,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lowest</w:t>
      </w:r>
      <w:r>
        <w:rPr>
          <w:spacing w:val="-13"/>
          <w:w w:val="105"/>
        </w:rPr>
        <w:t> </w:t>
      </w:r>
      <w:r>
        <w:rPr>
          <w:w w:val="105"/>
        </w:rPr>
        <w:t>since</w:t>
      </w:r>
      <w:r>
        <w:rPr>
          <w:spacing w:val="-14"/>
          <w:w w:val="105"/>
        </w:rPr>
        <w:t> </w:t>
      </w:r>
      <w:r>
        <w:rPr>
          <w:w w:val="105"/>
        </w:rPr>
        <w:t>the fourth quarter of 2023.</w:t>
      </w:r>
    </w:p>
    <w:p>
      <w:pPr>
        <w:pStyle w:val="BodyText"/>
        <w:spacing w:before="5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1108325</wp:posOffset>
            </wp:positionH>
            <wp:positionV relativeFrom="paragraph">
              <wp:posOffset>195063</wp:posOffset>
            </wp:positionV>
            <wp:extent cx="4377805" cy="1917192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7805" cy="191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4"/>
      </w:pPr>
    </w:p>
    <w:p>
      <w:pPr>
        <w:spacing w:before="0"/>
        <w:ind w:left="361" w:right="0" w:firstLine="0"/>
        <w:jc w:val="left"/>
        <w:rPr>
          <w:i/>
          <w:sz w:val="24"/>
        </w:rPr>
      </w:pPr>
      <w:r>
        <w:rPr>
          <w:i/>
          <w:spacing w:val="-4"/>
          <w:sz w:val="24"/>
        </w:rPr>
        <w:t>Figure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1.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Container</w:t>
      </w:r>
      <w:r>
        <w:rPr>
          <w:i/>
          <w:spacing w:val="-9"/>
          <w:sz w:val="24"/>
        </w:rPr>
        <w:t> </w:t>
      </w:r>
      <w:r>
        <w:rPr>
          <w:i/>
          <w:spacing w:val="-4"/>
          <w:sz w:val="24"/>
        </w:rPr>
        <w:t>volume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by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port,</w:t>
      </w:r>
      <w:r>
        <w:rPr>
          <w:i/>
          <w:spacing w:val="-9"/>
          <w:sz w:val="24"/>
        </w:rPr>
        <w:t> </w:t>
      </w:r>
      <w:r>
        <w:rPr>
          <w:i/>
          <w:spacing w:val="-4"/>
          <w:sz w:val="24"/>
        </w:rPr>
        <w:t>Q2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and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Q3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2026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(thousand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TEU)</w:t>
      </w:r>
    </w:p>
    <w:p>
      <w:pPr>
        <w:spacing w:after="0"/>
        <w:jc w:val="left"/>
        <w:rPr>
          <w:i/>
          <w:sz w:val="24"/>
        </w:rPr>
        <w:sectPr>
          <w:headerReference w:type="default" r:id="rId7"/>
          <w:footerReference w:type="default" r:id="rId8"/>
          <w:pgSz w:w="12240" w:h="15840"/>
          <w:pgMar w:header="720" w:footer="994" w:top="1340" w:bottom="1180" w:left="1080" w:right="1080"/>
        </w:sectPr>
      </w:pPr>
    </w:p>
    <w:p>
      <w:pPr>
        <w:pStyle w:val="Heading2"/>
        <w:spacing w:before="154"/>
      </w:pPr>
      <w:r>
        <w:rPr>
          <w:color w:val="0E4661"/>
          <w:spacing w:val="-2"/>
        </w:rPr>
        <w:t>Highlights</w:t>
      </w:r>
    </w:p>
    <w:p>
      <w:pPr>
        <w:pStyle w:val="BodyText"/>
        <w:spacing w:before="181"/>
        <w:ind w:left="361"/>
      </w:pPr>
      <w:r>
        <w:rPr/>
        <w:t>Savannah handled 1,412 thousand TEU, up 9.1% on the quarter, afteer its fourth berth reopened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July.</w:t>
      </w:r>
      <w:r>
        <w:rPr>
          <w:spacing w:val="-10"/>
        </w:rPr>
        <w:t> </w:t>
      </w:r>
      <w:r>
        <w:rPr/>
        <w:t>Norfolk</w:t>
      </w:r>
      <w:r>
        <w:rPr>
          <w:spacing w:val="-10"/>
        </w:rPr>
        <w:t> </w:t>
      </w:r>
      <w:r>
        <w:rPr/>
        <w:t>grew</w:t>
      </w:r>
      <w:r>
        <w:rPr>
          <w:spacing w:val="-10"/>
        </w:rPr>
        <w:t> </w:t>
      </w:r>
      <w:r>
        <w:rPr/>
        <w:t>7.6%</w:t>
      </w:r>
      <w:r>
        <w:rPr>
          <w:spacing w:val="-10"/>
        </w:rPr>
        <w:t> </w:t>
      </w:r>
      <w:r>
        <w:rPr/>
        <w:t>on</w:t>
      </w:r>
      <w:r>
        <w:rPr>
          <w:spacing w:val="-10"/>
        </w:rPr>
        <w:t> </w:t>
      </w:r>
      <w:r>
        <w:rPr/>
        <w:t>new transatlantic services. New York and New Jersey remained the largest port by volume, though its growth slowed to 3.2% as two terminals ran reduced hours during crane </w:t>
      </w:r>
      <w:r>
        <w:rPr>
          <w:spacing w:val="-2"/>
        </w:rPr>
        <w:t>replacement.</w:t>
      </w:r>
    </w:p>
    <w:p>
      <w:pPr>
        <w:pStyle w:val="BodyText"/>
        <w:spacing w:before="164"/>
        <w:ind w:left="361" w:right="38"/>
      </w:pPr>
      <w:r>
        <w:rPr/>
        <w:t>Charleston and Baltimore recovered from second-quarter disruptions. Charleston’s volume</w:t>
      </w:r>
      <w:r>
        <w:rPr>
          <w:spacing w:val="-6"/>
        </w:rPr>
        <w:t> </w:t>
      </w:r>
      <w:r>
        <w:rPr/>
        <w:t>rose</w:t>
      </w:r>
      <w:r>
        <w:rPr>
          <w:spacing w:val="-6"/>
        </w:rPr>
        <w:t> </w:t>
      </w:r>
      <w:r>
        <w:rPr/>
        <w:t>8.4%,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Baltimore</w:t>
      </w:r>
      <w:r>
        <w:rPr>
          <w:spacing w:val="-6"/>
        </w:rPr>
        <w:t> </w:t>
      </w:r>
      <w:r>
        <w:rPr/>
        <w:t>returned</w:t>
      </w:r>
      <w:r>
        <w:rPr>
          <w:spacing w:val="-5"/>
        </w:rPr>
        <w:t> </w:t>
      </w:r>
      <w:r>
        <w:rPr/>
        <w:t>to its</w:t>
      </w:r>
      <w:r>
        <w:rPr>
          <w:spacing w:val="-12"/>
        </w:rPr>
        <w:t> </w:t>
      </w:r>
      <w:r>
        <w:rPr/>
        <w:t>2025</w:t>
      </w:r>
      <w:r>
        <w:rPr>
          <w:spacing w:val="-13"/>
        </w:rPr>
        <w:t> </w:t>
      </w:r>
      <w:r>
        <w:rPr/>
        <w:t>average</w:t>
      </w:r>
      <w:r>
        <w:rPr>
          <w:spacing w:val="-12"/>
        </w:rPr>
        <w:t> </w:t>
      </w:r>
      <w:r>
        <w:rPr/>
        <w:t>afteer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channel</w:t>
      </w:r>
      <w:r>
        <w:rPr>
          <w:spacing w:val="-12"/>
        </w:rPr>
        <w:t> </w:t>
      </w:r>
      <w:r>
        <w:rPr/>
        <w:t>restriction was lifteed on June 2.</w:t>
      </w:r>
    </w:p>
    <w:p>
      <w:pPr>
        <w:pStyle w:val="Heading2"/>
        <w:spacing w:before="167"/>
      </w:pPr>
      <w:r>
        <w:rPr>
          <w:color w:val="0E4661"/>
        </w:rPr>
        <w:t>Risks</w:t>
      </w:r>
      <w:r>
        <w:rPr>
          <w:color w:val="0E4661"/>
          <w:spacing w:val="-14"/>
        </w:rPr>
        <w:t> </w:t>
      </w:r>
      <w:r>
        <w:rPr>
          <w:color w:val="0E4661"/>
        </w:rPr>
        <w:t>for</w:t>
      </w:r>
      <w:r>
        <w:rPr>
          <w:color w:val="0E4661"/>
          <w:spacing w:val="-15"/>
        </w:rPr>
        <w:t> </w:t>
      </w:r>
      <w:r>
        <w:rPr>
          <w:color w:val="0E4661"/>
          <w:spacing w:val="-5"/>
        </w:rPr>
        <w:t>Q4</w:t>
      </w:r>
    </w:p>
    <w:p>
      <w:pPr>
        <w:pStyle w:val="ListParagraph"/>
        <w:numPr>
          <w:ilvl w:val="0"/>
          <w:numId w:val="2"/>
        </w:numPr>
        <w:tabs>
          <w:tab w:pos="1081" w:val="left" w:leader="none"/>
        </w:tabs>
        <w:spacing w:line="252" w:lineRule="auto" w:before="79" w:after="0"/>
        <w:ind w:left="1081" w:right="41" w:hanging="360"/>
        <w:jc w:val="both"/>
        <w:rPr>
          <w:sz w:val="24"/>
        </w:rPr>
      </w:pPr>
      <w:r>
        <w:rPr>
          <w:sz w:val="24"/>
        </w:rPr>
        <w:t>Labor contract talks at two terminals in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York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Jersey</w:t>
      </w:r>
      <w:r>
        <w:rPr>
          <w:spacing w:val="-1"/>
          <w:sz w:val="24"/>
        </w:rPr>
        <w:t> </w:t>
      </w:r>
      <w:r>
        <w:rPr>
          <w:sz w:val="24"/>
        </w:rPr>
        <w:t>resume on November 3.</w:t>
      </w:r>
    </w:p>
    <w:p>
      <w:pPr>
        <w:pStyle w:val="ListParagraph"/>
        <w:numPr>
          <w:ilvl w:val="0"/>
          <w:numId w:val="2"/>
        </w:numPr>
        <w:tabs>
          <w:tab w:pos="1081" w:val="left" w:leader="none"/>
        </w:tabs>
        <w:spacing w:line="252" w:lineRule="auto" w:before="17" w:after="0"/>
        <w:ind w:left="1081" w:right="340" w:hanging="360"/>
        <w:jc w:val="left"/>
        <w:rPr>
          <w:sz w:val="24"/>
        </w:rPr>
      </w:pPr>
      <w:r>
        <w:rPr>
          <w:sz w:val="24"/>
        </w:rPr>
        <w:t>Hurricane season closures cost an </w:t>
      </w:r>
      <w:r>
        <w:rPr>
          <w:w w:val="105"/>
          <w:sz w:val="24"/>
        </w:rPr>
        <w:t>average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2.6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operating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days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per port in 2025.</w:t>
      </w:r>
    </w:p>
    <w:p>
      <w:pPr>
        <w:pStyle w:val="ListParagraph"/>
        <w:numPr>
          <w:ilvl w:val="0"/>
          <w:numId w:val="2"/>
        </w:numPr>
        <w:tabs>
          <w:tab w:pos="1082" w:val="left" w:leader="none"/>
        </w:tabs>
        <w:spacing w:line="247" w:lineRule="auto" w:before="157" w:after="0"/>
        <w:ind w:left="1082" w:right="939" w:hanging="360"/>
        <w:jc w:val="left"/>
        <w:rPr>
          <w:sz w:val="24"/>
        </w:rPr>
      </w:pPr>
      <w:r>
        <w:rPr/>
        <w:br w:type="column"/>
      </w:r>
      <w:r>
        <w:rPr>
          <w:sz w:val="24"/>
        </w:rPr>
        <w:t>Chassis shortages persist in Savannah, where dwell time for imports reached 5.9 days in </w:t>
      </w:r>
      <w:r>
        <w:rPr>
          <w:spacing w:val="-2"/>
          <w:sz w:val="24"/>
        </w:rPr>
        <w:t>September.</w:t>
      </w:r>
    </w:p>
    <w:p>
      <w:pPr>
        <w:pStyle w:val="Heading2"/>
        <w:ind w:left="362"/>
      </w:pPr>
      <w:r>
        <w:rPr>
          <w:color w:val="0E4661"/>
          <w:spacing w:val="-2"/>
        </w:rPr>
        <w:t>Outlook</w:t>
      </w:r>
    </w:p>
    <w:p>
      <w:pPr>
        <w:pStyle w:val="BodyText"/>
        <w:spacing w:before="181"/>
        <w:ind w:left="362" w:right="195"/>
      </w:pPr>
      <w:r>
        <w:rPr>
          <w:w w:val="105"/>
        </w:rPr>
        <w:t>We expect fourth-quarter volumes to rise between</w:t>
      </w:r>
      <w:r>
        <w:rPr>
          <w:spacing w:val="-9"/>
          <w:w w:val="105"/>
        </w:rPr>
        <w:t> </w:t>
      </w:r>
      <w:r>
        <w:rPr>
          <w:w w:val="105"/>
        </w:rPr>
        <w:t>2%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4%,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strongest growth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Norfolk.</w:t>
      </w:r>
      <w:r>
        <w:rPr>
          <w:spacing w:val="-13"/>
          <w:w w:val="105"/>
        </w:rPr>
        <w:t> </w:t>
      </w:r>
      <w:r>
        <w:rPr>
          <w:w w:val="105"/>
        </w:rPr>
        <w:t>Wait</w:t>
      </w:r>
      <w:r>
        <w:rPr>
          <w:spacing w:val="-13"/>
          <w:w w:val="105"/>
        </w:rPr>
        <w:t> </w:t>
      </w:r>
      <w:r>
        <w:rPr>
          <w:w w:val="105"/>
        </w:rPr>
        <w:t>times</w:t>
      </w:r>
      <w:r>
        <w:rPr>
          <w:spacing w:val="-13"/>
          <w:w w:val="105"/>
        </w:rPr>
        <w:t> </w:t>
      </w:r>
      <w:r>
        <w:rPr>
          <w:w w:val="105"/>
        </w:rPr>
        <w:t>should</w:t>
      </w:r>
      <w:r>
        <w:rPr>
          <w:spacing w:val="-13"/>
          <w:w w:val="105"/>
        </w:rPr>
        <w:t> </w:t>
      </w:r>
      <w:r>
        <w:rPr>
          <w:w w:val="105"/>
        </w:rPr>
        <w:t>stay </w:t>
      </w:r>
      <w:r>
        <w:rPr/>
        <w:t>below 22 hours unless weather closes more </w:t>
      </w:r>
      <w:r>
        <w:rPr>
          <w:w w:val="105"/>
        </w:rPr>
        <w:t>than one port at once.</w:t>
      </w:r>
    </w:p>
    <w:p>
      <w:pPr>
        <w:pStyle w:val="BodyText"/>
        <w:spacing w:before="8" w:after="1"/>
        <w:rPr>
          <w:sz w:val="18"/>
        </w:rPr>
      </w:pPr>
    </w:p>
    <w:tbl>
      <w:tblPr>
        <w:tblW w:w="0" w:type="auto"/>
        <w:jc w:val="left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2"/>
        <w:gridCol w:w="1684"/>
        <w:gridCol w:w="1213"/>
      </w:tblGrid>
      <w:tr>
        <w:trPr>
          <w:trHeight w:val="310" w:hRule="atLeast"/>
        </w:trPr>
        <w:tc>
          <w:tcPr>
            <w:tcW w:w="151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6" w:lineRule="exact" w:before="0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Port</w:t>
            </w:r>
          </w:p>
        </w:tc>
        <w:tc>
          <w:tcPr>
            <w:tcW w:w="168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6" w:lineRule="exact" w:before="0"/>
              <w:ind w:right="359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Q3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TEU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(k)</w:t>
            </w:r>
          </w:p>
        </w:tc>
        <w:tc>
          <w:tcPr>
            <w:tcW w:w="121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6" w:lineRule="exact" w:before="0"/>
              <w:ind w:right="10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Change</w:t>
            </w:r>
          </w:p>
        </w:tc>
      </w:tr>
      <w:tr>
        <w:trPr>
          <w:trHeight w:val="619" w:hRule="atLeast"/>
        </w:trPr>
        <w:tc>
          <w:tcPr>
            <w:tcW w:w="1512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10" w:right="224"/>
              <w:rPr>
                <w:sz w:val="24"/>
              </w:rPr>
            </w:pPr>
            <w:r>
              <w:rPr>
                <w:spacing w:val="-4"/>
                <w:sz w:val="24"/>
              </w:rPr>
              <w:t>New </w:t>
            </w:r>
            <w:r>
              <w:rPr>
                <w:spacing w:val="-10"/>
                <w:sz w:val="24"/>
              </w:rPr>
              <w:t>York/NJ</w:t>
            </w:r>
          </w:p>
        </w:tc>
        <w:tc>
          <w:tcPr>
            <w:tcW w:w="1684" w:type="dxa"/>
            <w:tcBorders>
              <w:top w:val="single" w:sz="6" w:space="0" w:color="000000"/>
            </w:tcBorders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2,214</w:t>
            </w:r>
          </w:p>
        </w:tc>
        <w:tc>
          <w:tcPr>
            <w:tcW w:w="1213" w:type="dxa"/>
            <w:tcBorders>
              <w:top w:val="single" w:sz="6" w:space="0" w:color="000000"/>
            </w:tcBorders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+3.2%</w:t>
            </w:r>
          </w:p>
        </w:tc>
      </w:tr>
      <w:tr>
        <w:trPr>
          <w:trHeight w:val="345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Savannah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1,412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+9.1%</w:t>
            </w:r>
          </w:p>
        </w:tc>
      </w:tr>
      <w:tr>
        <w:trPr>
          <w:trHeight w:val="346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Norfolk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+7.6%</w:t>
            </w:r>
          </w:p>
        </w:tc>
      </w:tr>
      <w:tr>
        <w:trPr>
          <w:trHeight w:val="346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Charleston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702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+8.4%</w:t>
            </w:r>
          </w:p>
        </w:tc>
      </w:tr>
      <w:tr>
        <w:trPr>
          <w:trHeight w:val="345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Baltimore</w:t>
            </w:r>
          </w:p>
        </w:tc>
        <w:tc>
          <w:tcPr>
            <w:tcW w:w="1684" w:type="dxa"/>
          </w:tcPr>
          <w:p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311</w:t>
            </w:r>
          </w:p>
        </w:tc>
        <w:tc>
          <w:tcPr>
            <w:tcW w:w="1213" w:type="dxa"/>
          </w:tcPr>
          <w:p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+1.9%</w:t>
            </w:r>
          </w:p>
        </w:tc>
      </w:tr>
      <w:tr>
        <w:trPr>
          <w:trHeight w:val="309" w:hRule="atLeast"/>
        </w:trPr>
        <w:tc>
          <w:tcPr>
            <w:tcW w:w="1512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Wilmington</w:t>
            </w:r>
          </w:p>
        </w:tc>
        <w:tc>
          <w:tcPr>
            <w:tcW w:w="1684" w:type="dxa"/>
          </w:tcPr>
          <w:p>
            <w:pPr>
              <w:pStyle w:val="TableParagraph"/>
              <w:spacing w:line="263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1213" w:type="dxa"/>
          </w:tcPr>
          <w:p>
            <w:pPr>
              <w:pStyle w:val="TableParagraph"/>
              <w:spacing w:line="263" w:lineRule="exact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+4.5%</w:t>
            </w:r>
          </w:p>
        </w:tc>
      </w:tr>
    </w:tbl>
    <w:sectPr>
      <w:type w:val="continuous"/>
      <w:pgSz w:w="12240" w:h="15840"/>
      <w:pgMar w:header="720" w:footer="994" w:top="1340" w:bottom="1180" w:left="1080" w:right="1080"/>
      <w:cols w:num="2" w:equalWidth="0">
        <w:col w:w="4742" w:space="208"/>
        <w:col w:w="51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3184">
              <wp:simplePos x="0" y="0"/>
              <wp:positionH relativeFrom="page">
                <wp:posOffset>3605529</wp:posOffset>
              </wp:positionH>
              <wp:positionV relativeFrom="page">
                <wp:posOffset>9287782</wp:posOffset>
              </wp:positionV>
              <wp:extent cx="564515" cy="1993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451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16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3.899994pt;margin-top:731.321472pt;width:44.45pt;height:15.7pt;mso-position-horizontal-relative:page;mso-position-vertical-relative:page;z-index:-1586329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18"/>
                      </w:rPr>
                      <w:t>Page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fldChar w:fldCharType="begin"/>
                    </w:r>
                    <w:r>
                      <w:rPr>
                        <w:spacing w:val="-2"/>
                        <w:sz w:val="24"/>
                      </w:rPr>
                      <w:instrText> PAGE </w:instrText>
                    </w:r>
                    <w:r>
                      <w:rPr>
                        <w:spacing w:val="-2"/>
                        <w:sz w:val="24"/>
                      </w:rPr>
                      <w:fldChar w:fldCharType="separate"/>
                    </w:r>
                    <w:r>
                      <w:rPr>
                        <w:spacing w:val="-2"/>
                        <w:sz w:val="24"/>
                      </w:rPr>
                      <w:t>1</w:t>
                    </w:r>
                    <w:r>
                      <w:rPr>
                        <w:spacing w:val="-2"/>
                        <w:sz w:val="24"/>
                      </w:rPr>
                      <w:fldChar w:fldCharType="end"/>
                    </w:r>
                    <w:r>
                      <w:rPr>
                        <w:spacing w:val="-16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of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208">
              <wp:simplePos x="0" y="0"/>
              <wp:positionH relativeFrom="page">
                <wp:posOffset>3605529</wp:posOffset>
              </wp:positionH>
              <wp:positionV relativeFrom="page">
                <wp:posOffset>9287782</wp:posOffset>
              </wp:positionV>
              <wp:extent cx="564515" cy="19939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56451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6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3.899994pt;margin-top:731.321472pt;width:44.45pt;height:15.7pt;mso-position-horizontal-relative:page;mso-position-vertical-relative:page;z-index:-15862272" type="#_x0000_t202" id="docshape1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18"/>
                      </w:rPr>
                      <w:t>Page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1</w:t>
                    </w:r>
                    <w:r>
                      <w:rPr>
                        <w:spacing w:val="-16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of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2672">
              <wp:simplePos x="0" y="0"/>
              <wp:positionH relativeFrom="page">
                <wp:posOffset>3824604</wp:posOffset>
              </wp:positionH>
              <wp:positionV relativeFrom="page">
                <wp:posOffset>444545</wp:posOffset>
              </wp:positionV>
              <wp:extent cx="3048635" cy="1562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04863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Master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Services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Agreement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·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Halvorsen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/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Brightwater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·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Confid7ential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1.149994pt;margin-top:35.003613pt;width:240.05pt;height:12.3pt;mso-position-horizontal-relative:page;mso-position-vertical-relative:page;z-index:-1586380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pacing w:val="-4"/>
                        <w:sz w:val="18"/>
                      </w:rPr>
                      <w:t>Master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Services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Agreement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·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Halvorsen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/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Brightwater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4"/>
                        <w:sz w:val="18"/>
                      </w:rPr>
                      <w:t>·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Confid7ential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3696">
              <wp:simplePos x="0" y="0"/>
              <wp:positionH relativeFrom="page">
                <wp:posOffset>4867909</wp:posOffset>
              </wp:positionH>
              <wp:positionV relativeFrom="page">
                <wp:posOffset>444545</wp:posOffset>
              </wp:positionV>
              <wp:extent cx="2004695" cy="1562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00469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Atlantic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Freight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Monitor</w:t>
                          </w:r>
                          <w:r>
                            <w:rPr>
                              <w:i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·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Quaarterly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3.299988pt;margin-top:35.003613pt;width:157.85pt;height:12.3pt;mso-position-horizontal-relative:page;mso-position-vertical-relative:page;z-index:-15862784" type="#_x0000_t202" id="docshape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pacing w:val="-6"/>
                        <w:sz w:val="18"/>
                      </w:rPr>
                      <w:t>Atlantic</w:t>
                    </w:r>
                    <w:r>
                      <w:rPr>
                        <w:i/>
                        <w:spacing w:val="1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Freight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Monitor</w:t>
                    </w:r>
                    <w:r>
                      <w:rPr>
                        <w:i/>
                        <w:spacing w:val="3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·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Quaarterly</w:t>
                    </w:r>
                    <w:r>
                      <w:rPr>
                        <w:i/>
                        <w:spacing w:val="2"/>
                        <w:sz w:val="18"/>
                      </w:rPr>
                      <w:t> </w:t>
                    </w:r>
                    <w:r>
                      <w:rPr>
                        <w:i/>
                        <w:spacing w:val="-6"/>
                        <w:sz w:val="18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82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082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4661"/>
        <w:spacing w:val="0"/>
        <w:w w:val="92"/>
        <w:sz w:val="40"/>
        <w:szCs w:val="4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8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87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80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87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1" w:hanging="720"/>
      <w:outlineLvl w:val="1"/>
    </w:pPr>
    <w:rPr>
      <w:rFonts w:ascii="Times New Roman" w:hAnsi="Times New Roman" w:eastAsia="Times New Roman" w:cs="Times New Roman"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44"/>
      <w:ind w:left="361"/>
      <w:outlineLvl w:val="2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93"/>
      <w:ind w:left="470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1036"/>
    </w:pPr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1081" w:hanging="72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6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2026-10-28T16:27:49Z</dcterms:created>
  <dcterms:modified xsi:type="dcterms:W3CDTF">2026-10-28T16:27:49Z</dcterms:modified>
</cp:coreProperties>
</file>