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before="0" w:after="120"/>
        <w:jc w:val="center"/>
      </w:pPr>
      <w:r>
        <w:rPr>
          <w:sz w:val="60"/>
          <w:szCs w:val="60"/>
          <w:rFonts w:ascii="Times New Roman" w:cs="Times New Roman" w:eastAsia="Times New Roman" w:hAnsi="Times New Roman"/>
        </w:rPr>
        <w:t xml:space="preserve">MASTER SERVICES AGREEMENT</w:t>
      </w:r>
    </w:p>
    <w:p>
      <w:pPr>
        <w:spacing w:before="0" w:after="120"/>
      </w:pPr>
      <w:r>
        <w:rPr>
          <w:sz w:val="24"/>
          <w:szCs w:val="24"/>
          <w:rFonts w:ascii="Times New Roman" w:cs="Times New Roman" w:eastAsia="Times New Roman" w:hAnsi="Times New Roman"/>
        </w:rPr>
        <w:t xml:space="preserve">This Master Services Agreement (the “Agreement”) is entered into as of March 4, 2026 (the “Effective Date”) by and between Halvorsen Marine Logistics, Inc., a Delaware corporation with offices at 4410 Quayside Drive, Norfolk, Virginia 23510 (“Client”), and Brightwater Analytics LLC, a Colorado limited liability company with offices at 918 Pearl Street, Boulder, Colorado 80302 (“Provider”).</w:t>
      </w:r>
      <w:r>
        <w:rPr>
          <w:sz w:val="24"/>
          <w:szCs w:val="24"/>
          <w:vertAlign w:val="superscript"/>
          <w:rStyle w:val="FootnoteReference"/>
          <w:rFonts w:ascii="Times New Roman" w:cs="Times New Roman" w:eastAsia="Times New Roman" w:hAnsi="Times New Roman"/>
        </w:rPr>
        <w:footnoteReference w:id="1"/>
      </w:r>
    </w:p>
    <w:p>
      <w:pPr>
        <w:pStyle w:val="Heading2"/>
        <w:spacing w:before="0" w:after="120"/>
      </w:pPr>
      <w:r>
        <w:rPr>
          <w:b/>
          <w:bCs/>
          <w:color w:val="0F4761"/>
          <w:sz w:val="40"/>
          <w:szCs w:val="40"/>
          <w:rFonts w:ascii="Times New Roman" w:cs="Times New Roman" w:eastAsia="Times New Roman" w:hAnsi="Times New Roman"/>
        </w:rPr>
        <w:t xml:space="preserve">1　Definitions</w:t>
      </w:r>
    </w:p>
    <w:p>
      <w:pPr>
        <w:pStyle w:val="ListParagraph"/>
        <w:numPr>
          <w:ilvl w:val="0"/>
          <w:numId w:val="2"/>
        </w:numPr>
        <w:spacing w:before="0" w:after="120"/>
      </w:pPr>
      <w:r>
        <w:rPr>
          <w:sz w:val="24"/>
          <w:szCs w:val="24"/>
          <w:rFonts w:ascii="Times New Roman" w:cs="Times New Roman" w:eastAsia="Times New Roman" w:hAnsi="Times New Roman"/>
        </w:rPr>
        <w:t xml:space="preserve">“Deliverables” means the reports, dashboards, and data models that Provider prepares for Client under a Statement of Work.</w:t>
      </w:r>
    </w:p>
    <w:p>
      <w:pPr>
        <w:pStyle w:val="ListParagraph"/>
        <w:numPr>
          <w:ilvl w:val="0"/>
          <w:numId w:val="2"/>
        </w:numPr>
        <w:spacing w:before="0" w:after="120"/>
      </w:pPr>
      <w:r>
        <w:rPr>
          <w:sz w:val="24"/>
          <w:szCs w:val="24"/>
          <w:rFonts w:ascii="Times New Roman" w:cs="Times New Roman" w:eastAsia="Times New Roman" w:hAnsi="Times New Roman"/>
        </w:rPr>
        <w:t xml:space="preserve">“Statement of Work” or “SOW” means a document executed by both parties that describes specific services, fees, and milestones.</w:t>
      </w:r>
    </w:p>
    <w:p>
      <w:pPr>
        <w:pStyle w:val="ListParagraph"/>
        <w:numPr>
          <w:ilvl w:val="0"/>
          <w:numId w:val="2"/>
        </w:numPr>
        <w:spacing w:before="0" w:after="120"/>
      </w:pPr>
      <w:r>
        <w:rPr>
          <w:sz w:val="24"/>
          <w:szCs w:val="24"/>
          <w:rFonts w:ascii="Times New Roman" w:cs="Times New Roman" w:eastAsia="Times New Roman" w:hAnsi="Times New Roman"/>
        </w:rPr>
        <w:t xml:space="preserve">“Confidential Information” means non-public information disclosed by either party, including:</w:t>
      </w:r>
    </w:p>
    <w:p>
      <w:pPr>
        <w:pStyle w:val="ListParagraph"/>
        <w:numPr>
          <w:ilvl w:val="1"/>
          <w:numId w:val="2"/>
        </w:numPr>
        <w:spacing w:before="0" w:after="120"/>
      </w:pPr>
      <w:r>
        <w:rPr>
          <w:sz w:val="24"/>
          <w:szCs w:val="24"/>
          <w:rFonts w:ascii="Times New Roman" w:cs="Times New Roman" w:eastAsia="Times New Roman" w:hAnsi="Times New Roman"/>
        </w:rPr>
        <w:t xml:space="preserve">pricing, vessel schedules, and customer lists;</w:t>
      </w:r>
    </w:p>
    <w:p>
      <w:pPr>
        <w:pStyle w:val="ListParagraph"/>
        <w:numPr>
          <w:ilvl w:val="1"/>
          <w:numId w:val="2"/>
        </w:numPr>
        <w:spacing w:before="0" w:after="120"/>
      </w:pPr>
      <w:r>
        <w:rPr>
          <w:sz w:val="24"/>
          <w:szCs w:val="24"/>
          <w:rFonts w:ascii="Times New Roman" w:cs="Times New Roman" w:eastAsia="Times New Roman" w:hAnsi="Times New Roman"/>
        </w:rPr>
        <w:t xml:space="preserve">source code and model weights; and</w:t>
      </w:r>
    </w:p>
    <w:p>
      <w:pPr>
        <w:pStyle w:val="ListParagraph"/>
        <w:numPr>
          <w:ilvl w:val="1"/>
          <w:numId w:val="2"/>
        </w:numPr>
        <w:spacing w:before="0" w:after="120"/>
      </w:pPr>
      <w:r>
        <w:rPr>
          <w:sz w:val="24"/>
          <w:szCs w:val="24"/>
          <w:rFonts w:ascii="Times New Roman" w:cs="Times New Roman" w:eastAsia="Times New Roman" w:hAnsi="Times New Roman"/>
        </w:rPr>
        <w:t xml:space="preserve">the terms of this Agreement.</w:t>
      </w:r>
    </w:p>
    <w:p>
      <w:pPr>
        <w:pStyle w:val="Heading2"/>
        <w:spacing w:before="0" w:after="120"/>
      </w:pPr>
      <w:r>
        <w:rPr>
          <w:b/>
          <w:bCs/>
          <w:color w:val="0F4761"/>
          <w:sz w:val="40"/>
          <w:szCs w:val="40"/>
          <w:rFonts w:ascii="Times New Roman" w:cs="Times New Roman" w:eastAsia="Times New Roman" w:hAnsi="Times New Roman"/>
        </w:rPr>
        <w:t xml:space="preserve">2　Services and Fees</w:t>
      </w:r>
    </w:p>
    <w:p>
      <w:pPr>
        <w:spacing w:before="0" w:after="120"/>
      </w:pPr>
      <w:r>
        <w:rPr>
          <w:sz w:val="24"/>
          <w:szCs w:val="24"/>
          <w:rFonts w:ascii="Times New Roman" w:cs="Times New Roman" w:eastAsia="Times New Roman" w:hAnsi="Times New Roman"/>
        </w:rPr>
        <w:t xml:space="preserve">Provider will perform the services described in each SOW. Client will pay the fees listed below within thirty (30) days of each invoice. Late amounts accrue interest at 1.25% per month or the highest rate permitted by law, whichever is lower.</w:t>
      </w:r>
      <w:r>
        <w:rPr>
          <w:sz w:val="24"/>
          <w:szCs w:val="24"/>
          <w:vertAlign w:val="superscript"/>
          <w:rStyle w:val="FootnoteReference"/>
          <w:rFonts w:ascii="Times New Roman" w:cs="Times New Roman" w:eastAsia="Times New Roman" w:hAnsi="Times New Roman"/>
        </w:rPr>
        <w:footnoteReference w:id="2"/>
      </w:r>
    </w:p>
    <w:p>
      <w:pPr>
        <w:spacing w:before="0" w:after="120"/>
      </w:pPr>
      <w:r>
        <w:rPr>
          <w:sz w:val="24"/>
          <w:szCs w:val="24"/>
          <w:rFonts w:ascii="Times New Roman" w:cs="Times New Roman" w:eastAsia="Times New Roman" w:hAnsi="Times New Roman"/>
        </w:rPr>
        <w:t xml:space="preserve">Table 1. Fee schedule</w:t>
      </w:r>
    </w:p>
    <w:tbl>
      <w:tblPr>
        <w:tblW w:type="pct" w:w="100%"/>
        <w:tblBorders>
          <w:top w:val="single" w:color="000000" w:sz="6"/>
          <w:left w:val="single" w:color="000000" w:sz="6"/>
          <w:bottom w:val="single" w:color="000000" w:sz="6"/>
          <w:right w:val="single" w:color="000000" w:sz="6"/>
          <w:insideH w:val="single" w:color="000000" w:sz="6"/>
          <w:insideV w:val="single" w:color="000000" w:sz="6"/>
        </w:tblBorders>
      </w:tblPr>
      <w:tblGrid>
        <w:gridCol w:w="2250"/>
        <w:gridCol w:w="2250"/>
        <w:gridCol w:w="2250"/>
        <w:gridCol w:w="2250"/>
      </w:tblGrid>
      <w:tr>
        <w:trPr>
          <w:tblHeader/>
        </w:trPr>
        <w:tc>
          <w:tcPr>
            <w:tcW w:type="pct" w:w="25%"/>
            <w:shd w:fill="F9FAFB" w:color="F9FAFB" w:val="solid"/>
          </w:tcPr>
          <w:p>
            <w:pPr>
              <w:spacing w:before="0" w:after="120"/>
            </w:pPr>
            <w:r>
              <w:rPr>
                <w:b/>
                <w:bCs/>
                <w:sz w:val="24"/>
                <w:szCs w:val="24"/>
                <w:rFonts w:ascii="Times New Roman" w:cs="Times New Roman" w:eastAsia="Times New Roman" w:hAnsi="Times New Roman"/>
              </w:rPr>
              <w:t xml:space="preserve">Service</w:t>
            </w:r>
          </w:p>
        </w:tc>
        <w:tc>
          <w:tcPr>
            <w:tcW w:type="pct" w:w="25%"/>
            <w:shd w:fill="F9FAFB" w:color="F9FAFB" w:val="solid"/>
          </w:tcPr>
          <w:p>
            <w:pPr>
              <w:spacing w:before="0" w:after="120"/>
            </w:pPr>
            <w:r>
              <w:rPr>
                <w:b/>
                <w:bCs/>
                <w:sz w:val="24"/>
                <w:szCs w:val="24"/>
                <w:rFonts w:ascii="Times New Roman" w:cs="Times New Roman" w:eastAsia="Times New Roman" w:hAnsi="Times New Roman"/>
              </w:rPr>
              <w:t xml:space="preserve">Unit</w:t>
            </w:r>
          </w:p>
        </w:tc>
        <w:tc>
          <w:tcPr>
            <w:tcW w:type="pct" w:w="25%"/>
            <w:shd w:fill="F9FAFB" w:color="F9FAFB" w:val="solid"/>
          </w:tcPr>
          <w:p>
            <w:pPr>
              <w:spacing w:before="0" w:after="120"/>
            </w:pPr>
            <w:r>
              <w:rPr>
                <w:b/>
                <w:bCs/>
                <w:sz w:val="24"/>
                <w:szCs w:val="24"/>
                <w:rFonts w:ascii="Times New Roman" w:cs="Times New Roman" w:eastAsia="Times New Roman" w:hAnsi="Times New Roman"/>
              </w:rPr>
              <w:t xml:space="preserve">Rate (USD)</w:t>
            </w:r>
          </w:p>
        </w:tc>
        <w:tc>
          <w:tcPr>
            <w:tcW w:type="pct" w:w="25%"/>
            <w:shd w:fill="F9FAFB" w:color="F9FAFB" w:val="solid"/>
          </w:tcPr>
          <w:p>
            <w:pPr>
              <w:spacing w:before="0" w:after="120"/>
            </w:pPr>
            <w:r>
              <w:rPr>
                <w:b/>
                <w:bCs/>
                <w:sz w:val="24"/>
                <w:szCs w:val="24"/>
                <w:rFonts w:ascii="Times New Roman" w:cs="Times New Roman" w:eastAsia="Times New Roman" w:hAnsi="Times New Roman"/>
              </w:rPr>
              <w:t xml:space="preserve">Monthly minimum</w:t>
            </w:r>
          </w:p>
        </w:tc>
      </w:tr>
      <w:tr>
        <w:tc>
          <w:tcPr>
            <w:tcW w:type="pct" w:w="25%"/>
          </w:tcPr>
          <w:p>
            <w:pPr>
              <w:spacing w:before="0" w:after="120"/>
            </w:pPr>
            <w:r>
              <w:rPr>
                <w:sz w:val="24"/>
                <w:szCs w:val="24"/>
                <w:rFonts w:ascii="Times New Roman" w:cs="Times New Roman" w:eastAsia="Times New Roman" w:hAnsi="Times New Roman"/>
              </w:rPr>
              <w:t xml:space="preserve">Route analytics</w:t>
            </w:r>
          </w:p>
        </w:tc>
        <w:tc>
          <w:tcPr>
            <w:tcW w:type="pct" w:w="25%"/>
          </w:tcPr>
          <w:p>
            <w:pPr>
              <w:spacing w:before="0" w:after="120"/>
            </w:pPr>
            <w:r>
              <w:rPr>
                <w:sz w:val="24"/>
                <w:szCs w:val="24"/>
                <w:rFonts w:ascii="Times New Roman" w:cs="Times New Roman" w:eastAsia="Times New Roman" w:hAnsi="Times New Roman"/>
              </w:rPr>
              <w:t xml:space="preserve">Per vessel</w:t>
            </w:r>
          </w:p>
        </w:tc>
        <w:tc>
          <w:tcPr>
            <w:tcW w:type="pct" w:w="25%"/>
          </w:tcPr>
          <w:p>
            <w:pPr>
              <w:spacing w:before="0" w:after="120"/>
            </w:pPr>
            <w:r>
              <w:rPr>
                <w:sz w:val="24"/>
                <w:szCs w:val="24"/>
                <w:rFonts w:ascii="Times New Roman" w:cs="Times New Roman" w:eastAsia="Times New Roman" w:hAnsi="Times New Roman"/>
              </w:rPr>
              <w:t xml:space="preserve">1,850.00</w:t>
            </w:r>
          </w:p>
        </w:tc>
        <w:tc>
          <w:tcPr>
            <w:tcW w:type="pct" w:w="25%"/>
          </w:tcPr>
          <w:p>
            <w:pPr>
              <w:spacing w:before="0" w:after="120"/>
            </w:pPr>
            <w:r>
              <w:rPr>
                <w:sz w:val="24"/>
                <w:szCs w:val="24"/>
                <w:rFonts w:ascii="Times New Roman" w:cs="Times New Roman" w:eastAsia="Times New Roman" w:hAnsi="Times New Roman"/>
              </w:rPr>
              <w:t xml:space="preserve">12,950.00</w:t>
            </w:r>
          </w:p>
        </w:tc>
      </w:tr>
      <w:tr>
        <w:tc>
          <w:tcPr>
            <w:tcW w:type="pct" w:w="25%"/>
          </w:tcPr>
          <w:p>
            <w:pPr>
              <w:spacing w:before="0" w:after="120"/>
            </w:pPr>
            <w:r>
              <w:rPr>
                <w:sz w:val="24"/>
                <w:szCs w:val="24"/>
                <w:rFonts w:ascii="Times New Roman" w:cs="Times New Roman" w:eastAsia="Times New Roman" w:hAnsi="Times New Roman"/>
              </w:rPr>
              <w:t xml:space="preserve">Port congestion feed</w:t>
            </w:r>
          </w:p>
        </w:tc>
        <w:tc>
          <w:tcPr>
            <w:tcW w:type="pct" w:w="25%"/>
          </w:tcPr>
          <w:p>
            <w:pPr>
              <w:spacing w:before="0" w:after="120"/>
            </w:pPr>
            <w:r>
              <w:rPr>
                <w:sz w:val="24"/>
                <w:szCs w:val="24"/>
                <w:rFonts w:ascii="Times New Roman" w:cs="Times New Roman" w:eastAsia="Times New Roman" w:hAnsi="Times New Roman"/>
              </w:rPr>
              <w:t xml:space="preserve">Per port</w:t>
            </w:r>
          </w:p>
        </w:tc>
        <w:tc>
          <w:tcPr>
            <w:tcW w:type="pct" w:w="25%"/>
          </w:tcPr>
          <w:p>
            <w:pPr>
              <w:spacing w:before="0" w:after="120"/>
            </w:pPr>
            <w:r>
              <w:rPr>
                <w:sz w:val="24"/>
                <w:szCs w:val="24"/>
                <w:rFonts w:ascii="Times New Roman" w:cs="Times New Roman" w:eastAsia="Times New Roman" w:hAnsi="Times New Roman"/>
              </w:rPr>
              <w:t xml:space="preserve">640.00</w:t>
            </w:r>
          </w:p>
        </w:tc>
        <w:tc>
          <w:tcPr>
            <w:tcW w:type="pct" w:w="25%"/>
          </w:tcPr>
          <w:p>
            <w:pPr>
              <w:spacing w:before="0" w:after="120"/>
            </w:pPr>
            <w:r>
              <w:rPr>
                <w:sz w:val="24"/>
                <w:szCs w:val="24"/>
                <w:rFonts w:ascii="Times New Roman" w:cs="Times New Roman" w:eastAsia="Times New Roman" w:hAnsi="Times New Roman"/>
              </w:rPr>
              <w:t xml:space="preserve">3,200.00</w:t>
            </w:r>
          </w:p>
        </w:tc>
      </w:tr>
      <w:tr>
        <w:tc>
          <w:tcPr>
            <w:tcW w:type="pct" w:w="25%"/>
          </w:tcPr>
          <w:p>
            <w:pPr>
              <w:spacing w:before="0" w:after="120"/>
            </w:pPr>
            <w:r>
              <w:rPr>
                <w:sz w:val="24"/>
                <w:szCs w:val="24"/>
                <w:rFonts w:ascii="Times New Roman" w:cs="Times New Roman" w:eastAsia="Times New Roman" w:hAnsi="Times New Roman"/>
              </w:rPr>
              <w:t xml:space="preserve">Custom modeling</w:t>
            </w:r>
          </w:p>
        </w:tc>
        <w:tc>
          <w:tcPr>
            <w:tcW w:type="pct" w:w="25%"/>
          </w:tcPr>
          <w:p>
            <w:pPr>
              <w:spacing w:before="0" w:after="120"/>
            </w:pPr>
            <w:r>
              <w:rPr>
                <w:sz w:val="24"/>
                <w:szCs w:val="24"/>
                <w:rFonts w:ascii="Times New Roman" w:cs="Times New Roman" w:eastAsia="Times New Roman" w:hAnsi="Times New Roman"/>
              </w:rPr>
              <w:t xml:space="preserve">Per hour</w:t>
            </w:r>
          </w:p>
        </w:tc>
        <w:tc>
          <w:tcPr>
            <w:tcW w:type="pct" w:w="25%"/>
          </w:tcPr>
          <w:p>
            <w:pPr>
              <w:spacing w:before="0" w:after="120"/>
            </w:pPr>
            <w:r>
              <w:rPr>
                <w:sz w:val="24"/>
                <w:szCs w:val="24"/>
                <w:rFonts w:ascii="Times New Roman" w:cs="Times New Roman" w:eastAsia="Times New Roman" w:hAnsi="Times New Roman"/>
              </w:rPr>
              <w:t xml:space="preserve">285.00</w:t>
            </w:r>
          </w:p>
        </w:tc>
        <w:tc>
          <w:tcPr>
            <w:tcW w:type="pct" w:w="25%"/>
          </w:tcPr>
          <w:p>
            <w:pPr>
              <w:spacing w:before="0" w:after="120"/>
            </w:pPr>
            <w:r>
              <w:rPr>
                <w:sz w:val="24"/>
                <w:szCs w:val="24"/>
                <w:rFonts w:ascii="Times New Roman" w:cs="Times New Roman" w:eastAsia="Times New Roman" w:hAnsi="Times New Roman"/>
              </w:rPr>
              <w:t xml:space="preserve">None</w:t>
            </w:r>
          </w:p>
        </w:tc>
      </w:tr>
      <w:tr>
        <w:tc>
          <w:tcPr>
            <w:tcW w:type="pct" w:w="25%"/>
          </w:tcPr>
          <w:p>
            <w:pPr>
              <w:spacing w:before="0" w:after="120"/>
            </w:pPr>
            <w:r>
              <w:rPr>
                <w:sz w:val="24"/>
                <w:szCs w:val="24"/>
                <w:rFonts w:ascii="Times New Roman" w:cs="Times New Roman" w:eastAsia="Times New Roman" w:hAnsi="Times New Roman"/>
              </w:rPr>
              <w:t xml:space="preserve">Onboarding</w:t>
            </w:r>
          </w:p>
        </w:tc>
        <w:tc>
          <w:tcPr>
            <w:tcW w:type="pct" w:w="75%"/>
            <w:gridSpan w:val="3"/>
          </w:tcPr>
          <w:p>
            <w:pPr>
              <w:spacing w:before="0" w:after="120"/>
            </w:pPr>
            <w:r>
              <w:rPr>
                <w:sz w:val="24"/>
                <w:szCs w:val="24"/>
                <w:rFonts w:ascii="Times New Roman" w:cs="Times New Roman" w:eastAsia="Times New Roman" w:hAnsi="Times New Roman"/>
              </w:rPr>
              <w:t xml:space="preserve">One-time fee of 7,500.00, invoiced on the Effective Date</w:t>
            </w:r>
          </w:p>
        </w:tc>
      </w:tr>
    </w:tbl>
    <w:p>
      <w:pPr>
        <w:pStyle w:val="Heading2"/>
        <w:spacing w:before="0" w:after="120"/>
      </w:pPr>
      <w:r>
        <w:rPr>
          <w:b/>
          <w:bCs/>
          <w:color w:val="0F4761"/>
          <w:sz w:val="40"/>
          <w:szCs w:val="40"/>
          <w:rFonts w:ascii="Times New Roman" w:cs="Times New Roman" w:eastAsia="Times New Roman" w:hAnsi="Times New Roman"/>
        </w:rPr>
        <w:t xml:space="preserve">3　Term and Termination</w:t>
      </w:r>
    </w:p>
    <w:p>
      <w:pPr>
        <w:spacing w:before="0" w:after="120"/>
      </w:pPr>
      <w:r>
        <w:rPr>
          <w:sz w:val="24"/>
          <w:szCs w:val="24"/>
          <w:rFonts w:ascii="Times New Roman" w:cs="Times New Roman" w:eastAsia="Times New Roman" w:hAnsi="Times New Roman"/>
        </w:rPr>
        <w:t xml:space="preserve">The initial term begins on the Effective Date and continues for twenty-four (24) months. Either party may terminate this Agreement:</w:t>
      </w:r>
    </w:p>
    <w:p>
      <w:pPr>
        <w:pStyle w:val="ListParagraph"/>
        <w:numPr>
          <w:ilvl w:val="0"/>
          <w:numId w:val="3"/>
        </w:numPr>
        <w:spacing w:before="0" w:after="120"/>
      </w:pPr>
      <w:r>
        <w:rPr>
          <w:sz w:val="24"/>
          <w:szCs w:val="24"/>
          <w:rFonts w:ascii="Times New Roman" w:cs="Times New Roman" w:eastAsia="Times New Roman" w:hAnsi="Times New Roman"/>
        </w:rPr>
        <w:t xml:space="preserve">for convenience, on ninety (90) days’ written notice;</w:t>
      </w:r>
    </w:p>
    <w:p>
      <w:pPr>
        <w:pStyle w:val="ListParagraph"/>
        <w:numPr>
          <w:ilvl w:val="0"/>
          <w:numId w:val="3"/>
        </w:numPr>
        <w:spacing w:before="0" w:after="120"/>
      </w:pPr>
      <w:r>
        <w:rPr>
          <w:sz w:val="24"/>
          <w:szCs w:val="24"/>
          <w:rFonts w:ascii="Times New Roman" w:cs="Times New Roman" w:eastAsia="Times New Roman" w:hAnsi="Times New Roman"/>
        </w:rPr>
        <w:t xml:space="preserve">for material breach that remains uncured thirty (30) days after written notice; or</w:t>
      </w:r>
    </w:p>
    <w:p>
      <w:pPr>
        <w:pStyle w:val="ListParagraph"/>
        <w:numPr>
          <w:ilvl w:val="0"/>
          <w:numId w:val="3"/>
        </w:numPr>
        <w:spacing w:before="0" w:after="120"/>
      </w:pPr>
      <w:r>
        <w:rPr>
          <w:sz w:val="24"/>
          <w:szCs w:val="24"/>
          <w:rFonts w:ascii="Times New Roman" w:cs="Times New Roman" w:eastAsia="Times New Roman" w:hAnsi="Times New Roman"/>
        </w:rPr>
        <w:t xml:space="preserve">immediately, if the other party becomes insolvent or makes an assignment for the benefit of creditors.</w:t>
      </w:r>
    </w:p>
    <w:p>
      <w:pPr>
        <w:spacing w:before="0" w:after="120"/>
      </w:pPr>
      <w:r>
        <w:rPr>
          <w:sz w:val="24"/>
          <w:szCs w:val="24"/>
          <w:rFonts w:ascii="Times New Roman" w:cs="Times New Roman" w:eastAsia="Times New Roman" w:hAnsi="Times New Roman"/>
        </w:rPr>
        <w:t xml:space="preserve">Sections 4, 5, and 7 survive any expiration or termination of this Agreement.</w:t>
      </w:r>
      <w:r>
        <w:rPr>
          <w:sz w:val="24"/>
          <w:szCs w:val="24"/>
          <w:vertAlign w:val="superscript"/>
          <w:rStyle w:val="FootnoteReference"/>
          <w:rFonts w:ascii="Times New Roman" w:cs="Times New Roman" w:eastAsia="Times New Roman" w:hAnsi="Times New Roman"/>
        </w:rPr>
        <w:footnoteReference w:id="3"/>
      </w:r>
    </w:p>
    <w:p>
      <w:pPr>
        <w:pStyle w:val="Heading2"/>
        <w:spacing w:before="0" w:after="120"/>
      </w:pPr>
      <w:r>
        <w:rPr>
          <w:b/>
          <w:bCs/>
          <w:color w:val="0F4761"/>
          <w:sz w:val="40"/>
          <w:szCs w:val="40"/>
          <w:rFonts w:ascii="Times New Roman" w:cs="Times New Roman" w:eastAsia="Times New Roman" w:hAnsi="Times New Roman"/>
        </w:rPr>
        <w:t xml:space="preserve">4　Confidentiality</w:t>
      </w:r>
    </w:p>
    <w:p>
      <w:pPr>
        <w:spacing w:before="0" w:after="120"/>
      </w:pPr>
      <w:r>
        <w:rPr>
          <w:sz w:val="24"/>
          <w:szCs w:val="24"/>
          <w:rFonts w:ascii="Times New Roman" w:cs="Times New Roman" w:eastAsia="Times New Roman" w:hAnsi="Times New Roman"/>
        </w:rPr>
        <w:t xml:space="preserve">Each party will protect the other party’s Confidential Information with at least the same degree of care it uses for its own, and no less than reasonable care. A receiving party may disclose Confidential Information to its employees and contractors who need to know it and who are bound by written obligations at least as protective as these. The obligations in this Section last for five (5) years after termination, except for trade secrets, which remain protected for as long as they qualify as trade secrets under applicable law.</w:t>
      </w:r>
    </w:p>
    <w:p>
      <w:pPr>
        <w:pStyle w:val="Heading2"/>
        <w:spacing w:before="0" w:after="120"/>
      </w:pPr>
      <w:r>
        <w:rPr>
          <w:b/>
          <w:bCs/>
          <w:color w:val="0F4761"/>
          <w:sz w:val="40"/>
          <w:szCs w:val="40"/>
          <w:rFonts w:ascii="Times New Roman" w:cs="Times New Roman" w:eastAsia="Times New Roman" w:hAnsi="Times New Roman"/>
        </w:rPr>
        <w:t xml:space="preserve">5　Limitation of Liability</w:t>
      </w:r>
    </w:p>
    <w:p>
      <w:pPr>
        <w:spacing w:before="0" w:after="120"/>
      </w:pPr>
      <w:r>
        <w:rPr>
          <w:sz w:val="24"/>
          <w:szCs w:val="24"/>
          <w:rFonts w:ascii="Times New Roman" w:cs="Times New Roman" w:eastAsia="Times New Roman" w:hAnsi="Times New Roman"/>
        </w:rPr>
        <w:t xml:space="preserve">EXCEPT FOR BREACHES OF SECTION 4, NEITHER PARTY WILL BE LIABLE FOR ANY INDIRECT, INCIDENTAL, SPECIAL, OR CONSEQUENTIAL DAMAGES. EACH PARTY’S TOTAL LIABILITY UNDER THIS AGREEMENT WILL NOT EXCEED THE FEES PAID OR PAYABLE IN THE TWELVE (12) MONTHS BEFORE THE CLAIM AROSE.</w:t>
      </w:r>
    </w:p>
    <w:p>
      <w:pPr>
        <w:pStyle w:val="Heading2"/>
        <w:spacing w:before="0" w:after="120"/>
      </w:pPr>
      <w:r>
        <w:rPr>
          <w:b/>
          <w:bCs/>
          <w:color w:val="0F4761"/>
          <w:sz w:val="40"/>
          <w:szCs w:val="40"/>
          <w:rFonts w:ascii="Times New Roman" w:cs="Times New Roman" w:eastAsia="Times New Roman" w:hAnsi="Times New Roman"/>
        </w:rPr>
        <w:t xml:space="preserve">6　General</w:t>
      </w:r>
    </w:p>
    <w:p>
      <w:pPr>
        <w:spacing w:before="0" w:after="120"/>
      </w:pPr>
      <w:r>
        <w:rPr>
          <w:sz w:val="24"/>
          <w:szCs w:val="24"/>
          <w:rFonts w:ascii="Times New Roman" w:cs="Times New Roman" w:eastAsia="Times New Roman" w:hAnsi="Times New Roman"/>
        </w:rPr>
        <w:t xml:space="preserve">This Agreement is governed by the laws of the Commonwealth of Virginia, without regard to its conflict of laws rules. This Agreement, together with each SOW, is the entire agreement between the parties on its subject and supersedes all prior proposals and understandings.</w:t>
      </w:r>
    </w:p>
    <w:p>
      <w:pPr>
        <w:spacing w:before="0" w:after="120"/>
      </w:pPr>
      <w:r>
        <w:rPr>
          <w:sz w:val="24"/>
          <w:szCs w:val="24"/>
          <w:rFonts w:ascii="Times New Roman" w:cs="Times New Roman" w:eastAsia="Times New Roman" w:hAnsi="Times New Roman"/>
        </w:rPr>
        <w:t xml:space="preserve">IN WITNESS WHEREOF, the parties have executed this Agreement as of the Effective Date.</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4500"/>
        <w:gridCol w:w="4500"/>
      </w:tblGrid>
      <w:tr>
        <w:tc>
          <w:tcPr>
            <w:tcW w:type="pct" w:w="50%"/>
          </w:tcPr>
          <w:p>
            <w:pPr>
              <w:spacing w:before="0" w:after="120"/>
            </w:pPr>
            <w:r>
              <w:rPr>
                <w:b/>
                <w:bCs/>
                <w:sz w:val="24"/>
                <w:szCs w:val="24"/>
                <w:rFonts w:ascii="Times New Roman" w:cs="Times New Roman" w:eastAsia="Times New Roman" w:hAnsi="Times New Roman"/>
              </w:rPr>
              <w:t xml:space="preserve">HALVORSEN MARINE LOGISTICS, INC.</w:t>
            </w:r>
          </w:p>
        </w:tc>
        <w:tc>
          <w:tcPr>
            <w:tcW w:type="pct" w:w="50%"/>
          </w:tcPr>
          <w:p>
            <w:pPr>
              <w:spacing w:before="0" w:after="120"/>
            </w:pPr>
            <w:r>
              <w:rPr>
                <w:b/>
                <w:bCs/>
                <w:sz w:val="24"/>
                <w:szCs w:val="24"/>
                <w:rFonts w:ascii="Times New Roman" w:cs="Times New Roman" w:eastAsia="Times New Roman" w:hAnsi="Times New Roman"/>
              </w:rPr>
              <w:t xml:space="preserve">BRIGHTWATER ANALYTICS LLC</w:t>
            </w:r>
          </w:p>
        </w:tc>
      </w:tr>
      <w:tr>
        <w:tc>
          <w:tcPr>
            <w:tcW w:type="pct" w:w="50%"/>
          </w:tcPr>
          <w:p>
            <w:pPr>
              <w:spacing w:before="0" w:after="120"/>
            </w:pPr>
            <w:r>
              <w:rPr>
                <w:sz w:val="24"/>
                <w:szCs w:val="24"/>
                <w:rFonts w:ascii="Times New Roman" w:cs="Times New Roman" w:eastAsia="Times New Roman" w:hAnsi="Times New Roman"/>
              </w:rPr>
              <w:t xml:space="preserve">By: ______________________________</w:t>
            </w:r>
          </w:p>
        </w:tc>
        <w:tc>
          <w:tcPr>
            <w:tcW w:type="pct" w:w="50%"/>
          </w:tcPr>
          <w:p>
            <w:pPr>
              <w:spacing w:before="0" w:after="120"/>
            </w:pPr>
            <w:r>
              <w:rPr>
                <w:sz w:val="24"/>
                <w:szCs w:val="24"/>
                <w:rFonts w:ascii="Times New Roman" w:cs="Times New Roman" w:eastAsia="Times New Roman" w:hAnsi="Times New Roman"/>
              </w:rPr>
              <w:t xml:space="preserve">By: ______________________________</w:t>
            </w:r>
          </w:p>
        </w:tc>
      </w:tr>
      <w:tr>
        <w:tc>
          <w:tcPr>
            <w:tcW w:type="pct" w:w="50%"/>
          </w:tcPr>
          <w:p>
            <w:pPr>
              <w:spacing w:before="0" w:after="120"/>
            </w:pPr>
            <w:r>
              <w:rPr>
                <w:sz w:val="24"/>
                <w:szCs w:val="24"/>
                <w:rFonts w:ascii="Times New Roman" w:cs="Times New Roman" w:eastAsia="Times New Roman" w:hAnsi="Times New Roman"/>
              </w:rPr>
              <w:t xml:space="preserve">Ingrid Halvorsen, Chief Executive Officer</w:t>
            </w:r>
          </w:p>
        </w:tc>
        <w:tc>
          <w:tcPr>
            <w:tcW w:type="pct" w:w="50%"/>
          </w:tcPr>
          <w:p>
            <w:pPr>
              <w:spacing w:before="0" w:after="120"/>
            </w:pPr>
            <w:r>
              <w:rPr>
                <w:sz w:val="24"/>
                <w:szCs w:val="24"/>
                <w:rFonts w:ascii="Times New Roman" w:cs="Times New Roman" w:eastAsia="Times New Roman" w:hAnsi="Times New Roman"/>
              </w:rPr>
              <w:t xml:space="preserve">Tomas Okafor-Reyes, Managing Member</w:t>
            </w:r>
          </w:p>
        </w:tc>
      </w:tr>
    </w:tbl>
    <w:p>
      <w:pPr>
        <w:sectPr>
          <w:headerReference w:type="default" r:id="rId6"/>
          <w:footerReference w:type="default" r:id="rId7"/>
          <w:pgSz w:w="12240" w:h="15840" w:orient="portrait"/>
          <w:pgMar w:top="1440" w:right="1987" w:bottom="1152" w:left="1440" w:header="708" w:footer="708" w:gutter="0"/>
          <w:pgNumType/>
          <w:docGrid w:linePitch="360"/>
        </w:sectPr>
      </w:pPr>
    </w:p>
    <w:p>
      <w:pPr>
        <w:pStyle w:val="Heading1"/>
        <w:spacing w:before="0" w:after="120"/>
      </w:pPr>
      <w:r>
        <w:rPr>
          <w:color w:val="0F4761"/>
          <w:sz w:val="40"/>
          <w:szCs w:val="40"/>
          <w:rFonts w:ascii="Times New Roman" w:cs="Times New Roman" w:eastAsia="Times New Roman" w:hAnsi="Times New Roman"/>
        </w:rPr>
        <w:t xml:space="preserve">Q3 2026 Port Throughput Review</w:t>
      </w:r>
    </w:p>
    <w:p>
      <w:pPr>
        <w:spacing w:before="0" w:after="120"/>
      </w:pPr>
      <w:r>
        <w:rPr>
          <w:sz w:val="24"/>
          <w:szCs w:val="24"/>
          <w:rFonts w:ascii="Times New Roman" w:cs="Times New Roman" w:eastAsia="Times New Roman" w:hAnsi="Times New Roman"/>
        </w:rPr>
        <w:t xml:space="preserve">Container volumes at the six monitored East Coast ports rose 6.8% from the second quarter, led by Savannah and Norfolk. Average berth wait time fell to 19.4 hours, the lowest since the fourth quarter of 2023.</w:t>
      </w:r>
    </w:p>
    <w:p>
      <w:pPr>
        <w:spacing w:before="120" w:after="120"/>
        <w:jc w:val="center"/>
      </w:pPr>
      <w:r>
        <w:drawing>
          <wp:inline distT="0" distB="0" distL="0" distR="0">
            <wp:extent cx="4343400" cy="1990725"/>
            <wp:effectExtent t="0" r="0" b="0" l="0"/>
            <wp:docPr id="1" name="Grouped bar chart comparing Q2 2026 and Q3 2026 container volumes in thousand TEU for NY/NJ, Savannah, Norfolk, Charleston, Baltimore, and Wilmington." descr="Grouped bar chart comparing Q2 2026 and Q3 2026 container volumes in thousand TEU for NY/NJ, Savannah, Norfolk, Charleston, Baltimore, and Wilmington." title="Grouped bar chart comparing Q2 2026 and Q3 2026 container volumes in thousand TEU for NY/NJ, Savannah, Norfolk, Charleston, Baltimore, and Wilm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43400" cy="1990725"/>
                    </a:xfrm>
                    <a:prstGeom prst="rect">
                      <a:avLst/>
                    </a:prstGeom>
                  </pic:spPr>
                </pic:pic>
              </a:graphicData>
            </a:graphic>
          </wp:inline>
        </w:drawing>
      </w:r>
    </w:p>
    <w:p>
      <w:pPr>
        <w:spacing w:before="0" w:after="120"/>
      </w:pPr>
      <w:r>
        <w:rPr>
          <w:i/>
          <w:iCs/>
          <w:sz w:val="24"/>
          <w:szCs w:val="24"/>
          <w:rFonts w:ascii="Times New Roman" w:cs="Times New Roman" w:eastAsia="Times New Roman" w:hAnsi="Times New Roman"/>
        </w:rPr>
        <w:t xml:space="preserve">Figure 1. Container volume by port, Q2 and Q3 2026 (thousand TEU)</w:t>
      </w:r>
    </w:p>
    <w:p>
      <w:pPr>
        <w:sectPr>
          <w:headerReference w:type="default" r:id="rId8"/>
          <w:footerReference w:type="default" r:id="rId9"/>
          <w:pgSz w:w="12240" w:h="15840" w:orient="portrait"/>
          <w:pgMar w:top="1440" w:right="1987" w:bottom="1152" w:left="1440" w:header="708" w:footer="708" w:gutter="0"/>
          <w:pgNumType/>
          <w:docGrid w:linePitch="360"/>
        </w:sectPr>
      </w:pPr>
    </w:p>
    <w:p>
      <w:pPr>
        <w:pStyle w:val="Heading3"/>
        <w:spacing w:before="0" w:after="120"/>
      </w:pPr>
      <w:r>
        <w:rPr>
          <w:color w:val="0F4761"/>
          <w:sz w:val="32"/>
          <w:szCs w:val="32"/>
          <w:rFonts w:ascii="Times New Roman" w:cs="Times New Roman" w:eastAsia="Times New Roman" w:hAnsi="Times New Roman"/>
        </w:rPr>
        <w:t xml:space="preserve">Highlights</w:t>
      </w:r>
    </w:p>
    <w:p>
      <w:pPr>
        <w:spacing w:before="0" w:after="120"/>
      </w:pPr>
      <w:r>
        <w:rPr>
          <w:sz w:val="24"/>
          <w:szCs w:val="24"/>
          <w:rFonts w:ascii="Times New Roman" w:cs="Times New Roman" w:eastAsia="Times New Roman" w:hAnsi="Times New Roman"/>
        </w:rPr>
        <w:t xml:space="preserve">Savannah handled 1,412 thousand TEU, up 9.1% on the quarter, after its fourth berth reopened in July. Norfolk grew 7.6% on new transatlantic services. New York and New Jersey remained the largest port by volume, though its growth slowed to 3.2% as two terminals ran reduced hours during crane replacement.</w:t>
      </w:r>
    </w:p>
    <w:p>
      <w:pPr>
        <w:spacing w:before="0" w:after="120"/>
      </w:pPr>
      <w:r>
        <w:rPr>
          <w:sz w:val="24"/>
          <w:szCs w:val="24"/>
          <w:rFonts w:ascii="Times New Roman" w:cs="Times New Roman" w:eastAsia="Times New Roman" w:hAnsi="Times New Roman"/>
        </w:rPr>
        <w:t xml:space="preserve">Charleston and Baltimore recovered from second-quarter disruptions. Charleston’s volume rose 8.4%, and Baltimore returned to its 2025 average after the channel restriction was lifted on June 2.</w:t>
      </w:r>
    </w:p>
    <w:p>
      <w:pPr>
        <w:pStyle w:val="Heading3"/>
        <w:spacing w:before="0" w:after="120"/>
      </w:pPr>
      <w:r>
        <w:rPr>
          <w:color w:val="0F4761"/>
          <w:sz w:val="32"/>
          <w:szCs w:val="32"/>
          <w:rFonts w:ascii="Times New Roman" w:cs="Times New Roman" w:eastAsia="Times New Roman" w:hAnsi="Times New Roman"/>
        </w:rPr>
        <w:t xml:space="preserve">Risks for Q4</w:t>
      </w:r>
    </w:p>
    <w:p>
      <w:pPr>
        <w:pStyle w:val="ListParagraph"/>
        <w:numPr>
          <w:ilvl w:val="0"/>
          <w:numId w:val="4"/>
        </w:numPr>
        <w:spacing w:before="0" w:after="120"/>
      </w:pPr>
      <w:r>
        <w:rPr>
          <w:sz w:val="24"/>
          <w:szCs w:val="24"/>
          <w:rFonts w:ascii="Times New Roman" w:cs="Times New Roman" w:eastAsia="Times New Roman" w:hAnsi="Times New Roman"/>
        </w:rPr>
        <w:t xml:space="preserve">Labor contract talks at two terminals in New York and New Jersey resume on November 3.</w:t>
      </w:r>
    </w:p>
    <w:p>
      <w:pPr>
        <w:pStyle w:val="ListParagraph"/>
        <w:numPr>
          <w:ilvl w:val="0"/>
          <w:numId w:val="4"/>
        </w:numPr>
        <w:spacing w:before="0" w:after="120"/>
      </w:pPr>
      <w:r>
        <w:rPr>
          <w:sz w:val="24"/>
          <w:szCs w:val="24"/>
          <w:rFonts w:ascii="Times New Roman" w:cs="Times New Roman" w:eastAsia="Times New Roman" w:hAnsi="Times New Roman"/>
        </w:rPr>
        <w:t xml:space="preserve">Hurricane season closures cost an average of 2.6 operating days per port in 2025.</w:t>
      </w:r>
    </w:p>
    <w:p>
      <w:pPr>
        <w:pStyle w:val="ListParagraph"/>
        <w:numPr>
          <w:ilvl w:val="0"/>
          <w:numId w:val="4"/>
        </w:numPr>
        <w:spacing w:before="0" w:after="120"/>
      </w:pPr>
      <w:r>
        <w:rPr>
          <w:sz w:val="24"/>
          <w:szCs w:val="24"/>
          <w:rFonts w:ascii="Times New Roman" w:cs="Times New Roman" w:eastAsia="Times New Roman" w:hAnsi="Times New Roman"/>
        </w:rPr>
        <w:t xml:space="preserve">Chassis shortages persist in Savannah, where dwell time for imports reached 5.9 days in September.</w:t>
      </w:r>
    </w:p>
    <w:p>
      <w:pPr>
        <w:pStyle w:val="Heading3"/>
        <w:spacing w:before="0" w:after="120"/>
      </w:pPr>
      <w:r>
        <w:rPr>
          <w:color w:val="0F4761"/>
          <w:sz w:val="32"/>
          <w:szCs w:val="32"/>
          <w:rFonts w:ascii="Times New Roman" w:cs="Times New Roman" w:eastAsia="Times New Roman" w:hAnsi="Times New Roman"/>
        </w:rPr>
        <w:t xml:space="preserve">Outlook</w:t>
      </w:r>
    </w:p>
    <w:p>
      <w:pPr>
        <w:spacing w:before="0" w:after="120"/>
      </w:pPr>
      <w:r>
        <w:rPr>
          <w:sz w:val="24"/>
          <w:szCs w:val="24"/>
          <w:rFonts w:ascii="Times New Roman" w:cs="Times New Roman" w:eastAsia="Times New Roman" w:hAnsi="Times New Roman"/>
        </w:rPr>
        <w:t xml:space="preserve">We expect fourth-quarter volumes to rise between 2% and 4%, with the strongest growth in Norfolk. Wait times should stay below 22 hours unless weather closes more than one port at once.</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3600"/>
        <w:gridCol w:w="3150"/>
        <w:gridCol w:w="2250"/>
      </w:tblGrid>
      <w:tr>
        <w:tc>
          <w:tcPr>
            <w:tcW w:type="pct" w:w="40%"/>
          </w:tcPr>
          <w:p>
            <w:pPr>
              <w:pBdr>
                <w:bottom w:val="single" w:color="000000" w:sz="6"/>
              </w:pBdr>
              <w:spacing w:before="0" w:after="120"/>
            </w:pPr>
            <w:r>
              <w:rPr>
                <w:sz w:val="24"/>
                <w:szCs w:val="24"/>
                <w:rFonts w:ascii="Times New Roman" w:cs="Times New Roman" w:eastAsia="Times New Roman" w:hAnsi="Times New Roman"/>
              </w:rPr>
              <w:t xml:space="preserve">Port</w:t>
            </w:r>
          </w:p>
        </w:tc>
        <w:tc>
          <w:tcPr>
            <w:tcW w:type="pct" w:w="35%"/>
          </w:tcPr>
          <w:p>
            <w:pPr>
              <w:pBdr>
                <w:bottom w:val="single" w:color="000000" w:sz="6"/>
              </w:pBdr>
              <w:spacing w:before="0" w:after="120"/>
              <w:jc w:val="center"/>
            </w:pPr>
            <w:r>
              <w:rPr>
                <w:sz w:val="24"/>
                <w:szCs w:val="24"/>
                <w:rFonts w:ascii="Times New Roman" w:cs="Times New Roman" w:eastAsia="Times New Roman" w:hAnsi="Times New Roman"/>
              </w:rPr>
              <w:t xml:space="preserve">Q3 TEU (k)</w:t>
            </w:r>
          </w:p>
        </w:tc>
        <w:tc>
          <w:tcPr>
            <w:tcW w:type="pct" w:w="25%"/>
          </w:tcPr>
          <w:p>
            <w:pPr>
              <w:pBdr>
                <w:bottom w:val="single" w:color="000000" w:sz="6"/>
              </w:pBdr>
              <w:spacing w:before="0" w:after="120"/>
              <w:jc w:val="right"/>
            </w:pPr>
            <w:r>
              <w:rPr>
                <w:sz w:val="24"/>
                <w:szCs w:val="24"/>
                <w:rFonts w:ascii="Times New Roman" w:cs="Times New Roman" w:eastAsia="Times New Roman" w:hAnsi="Times New Roman"/>
              </w:rPr>
              <w:t xml:space="preserve">Change</w:t>
            </w:r>
          </w:p>
        </w:tc>
      </w:tr>
      <w:tr>
        <w:tc>
          <w:tcPr>
            <w:tcW w:type="pct" w:w="40%"/>
          </w:tcPr>
          <w:p>
            <w:pPr>
              <w:spacing w:before="0" w:after="120"/>
            </w:pPr>
            <w:r>
              <w:rPr>
                <w:sz w:val="24"/>
                <w:szCs w:val="24"/>
                <w:rFonts w:ascii="Times New Roman" w:cs="Times New Roman" w:eastAsia="Times New Roman" w:hAnsi="Times New Roman"/>
              </w:rPr>
              <w:t xml:space="preserve">New York/NJ</w:t>
            </w:r>
          </w:p>
        </w:tc>
        <w:tc>
          <w:tcPr>
            <w:tcW w:type="pct" w:w="35%"/>
          </w:tcPr>
          <w:p>
            <w:pPr>
              <w:spacing w:before="0" w:after="120"/>
              <w:jc w:val="right"/>
            </w:pPr>
            <w:r>
              <w:rPr>
                <w:sz w:val="24"/>
                <w:szCs w:val="24"/>
                <w:rFonts w:ascii="Times New Roman" w:cs="Times New Roman" w:eastAsia="Times New Roman" w:hAnsi="Times New Roman"/>
              </w:rPr>
              <w:t xml:space="preserve">2,214</w:t>
            </w:r>
          </w:p>
        </w:tc>
        <w:tc>
          <w:tcPr>
            <w:tcW w:type="pct" w:w="25%"/>
          </w:tcPr>
          <w:p>
            <w:pPr>
              <w:spacing w:before="0" w:after="120"/>
              <w:jc w:val="right"/>
            </w:pPr>
            <w:r>
              <w:rPr>
                <w:sz w:val="24"/>
                <w:szCs w:val="24"/>
                <w:rFonts w:ascii="Times New Roman" w:cs="Times New Roman" w:eastAsia="Times New Roman" w:hAnsi="Times New Roman"/>
              </w:rPr>
              <w:t xml:space="preserve">+3.2%</w:t>
            </w:r>
          </w:p>
        </w:tc>
      </w:tr>
      <w:tr>
        <w:tc>
          <w:tcPr>
            <w:tcW w:type="pct" w:w="40%"/>
          </w:tcPr>
          <w:p>
            <w:pPr>
              <w:spacing w:before="0" w:after="120"/>
            </w:pPr>
            <w:r>
              <w:rPr>
                <w:sz w:val="24"/>
                <w:szCs w:val="24"/>
                <w:rFonts w:ascii="Times New Roman" w:cs="Times New Roman" w:eastAsia="Times New Roman" w:hAnsi="Times New Roman"/>
              </w:rPr>
              <w:t xml:space="preserve">Savannah</w:t>
            </w:r>
          </w:p>
        </w:tc>
        <w:tc>
          <w:tcPr>
            <w:tcW w:type="pct" w:w="35%"/>
          </w:tcPr>
          <w:p>
            <w:pPr>
              <w:spacing w:before="0" w:after="120"/>
              <w:jc w:val="right"/>
            </w:pPr>
            <w:r>
              <w:rPr>
                <w:sz w:val="24"/>
                <w:szCs w:val="24"/>
                <w:rFonts w:ascii="Times New Roman" w:cs="Times New Roman" w:eastAsia="Times New Roman" w:hAnsi="Times New Roman"/>
              </w:rPr>
              <w:t xml:space="preserve">1,412</w:t>
            </w:r>
          </w:p>
        </w:tc>
        <w:tc>
          <w:tcPr>
            <w:tcW w:type="pct" w:w="25%"/>
          </w:tcPr>
          <w:p>
            <w:pPr>
              <w:spacing w:before="0" w:after="120"/>
              <w:jc w:val="right"/>
            </w:pPr>
            <w:r>
              <w:rPr>
                <w:sz w:val="24"/>
                <w:szCs w:val="24"/>
                <w:rFonts w:ascii="Times New Roman" w:cs="Times New Roman" w:eastAsia="Times New Roman" w:hAnsi="Times New Roman"/>
              </w:rPr>
              <w:t xml:space="preserve">+9.1%</w:t>
            </w:r>
          </w:p>
        </w:tc>
      </w:tr>
      <w:tr>
        <w:tc>
          <w:tcPr>
            <w:tcW w:type="pct" w:w="40%"/>
          </w:tcPr>
          <w:p>
            <w:pPr>
              <w:spacing w:before="0" w:after="120"/>
            </w:pPr>
            <w:r>
              <w:rPr>
                <w:sz w:val="24"/>
                <w:szCs w:val="24"/>
                <w:rFonts w:ascii="Times New Roman" w:cs="Times New Roman" w:eastAsia="Times New Roman" w:hAnsi="Times New Roman"/>
              </w:rPr>
              <w:t xml:space="preserve">Norfolk</w:t>
            </w:r>
          </w:p>
        </w:tc>
        <w:tc>
          <w:tcPr>
            <w:tcW w:type="pct" w:w="35%"/>
          </w:tcPr>
          <w:p>
            <w:pPr>
              <w:spacing w:before="0" w:after="120"/>
              <w:jc w:val="right"/>
            </w:pPr>
            <w:r>
              <w:rPr>
                <w:sz w:val="24"/>
                <w:szCs w:val="24"/>
                <w:rFonts w:ascii="Times New Roman" w:cs="Times New Roman" w:eastAsia="Times New Roman" w:hAnsi="Times New Roman"/>
              </w:rPr>
              <w:t xml:space="preserve">948</w:t>
            </w:r>
          </w:p>
        </w:tc>
        <w:tc>
          <w:tcPr>
            <w:tcW w:type="pct" w:w="25%"/>
          </w:tcPr>
          <w:p>
            <w:pPr>
              <w:spacing w:before="0" w:after="120"/>
              <w:jc w:val="right"/>
            </w:pPr>
            <w:r>
              <w:rPr>
                <w:sz w:val="24"/>
                <w:szCs w:val="24"/>
                <w:rFonts w:ascii="Times New Roman" w:cs="Times New Roman" w:eastAsia="Times New Roman" w:hAnsi="Times New Roman"/>
              </w:rPr>
              <w:t xml:space="preserve">+7.6%</w:t>
            </w:r>
          </w:p>
        </w:tc>
      </w:tr>
      <w:tr>
        <w:tc>
          <w:tcPr>
            <w:tcW w:type="pct" w:w="40%"/>
          </w:tcPr>
          <w:p>
            <w:pPr>
              <w:spacing w:before="0" w:after="120"/>
            </w:pPr>
            <w:r>
              <w:rPr>
                <w:sz w:val="24"/>
                <w:szCs w:val="24"/>
                <w:rFonts w:ascii="Times New Roman" w:cs="Times New Roman" w:eastAsia="Times New Roman" w:hAnsi="Times New Roman"/>
              </w:rPr>
              <w:t xml:space="preserve">Charleston</w:t>
            </w:r>
          </w:p>
        </w:tc>
        <w:tc>
          <w:tcPr>
            <w:tcW w:type="pct" w:w="35%"/>
          </w:tcPr>
          <w:p>
            <w:pPr>
              <w:spacing w:before="0" w:after="120"/>
              <w:jc w:val="right"/>
            </w:pPr>
            <w:r>
              <w:rPr>
                <w:sz w:val="24"/>
                <w:szCs w:val="24"/>
                <w:rFonts w:ascii="Times New Roman" w:cs="Times New Roman" w:eastAsia="Times New Roman" w:hAnsi="Times New Roman"/>
              </w:rPr>
              <w:t xml:space="preserve">702</w:t>
            </w:r>
          </w:p>
        </w:tc>
        <w:tc>
          <w:tcPr>
            <w:tcW w:type="pct" w:w="25%"/>
          </w:tcPr>
          <w:p>
            <w:pPr>
              <w:spacing w:before="0" w:after="120"/>
              <w:jc w:val="right"/>
            </w:pPr>
            <w:r>
              <w:rPr>
                <w:sz w:val="24"/>
                <w:szCs w:val="24"/>
                <w:rFonts w:ascii="Times New Roman" w:cs="Times New Roman" w:eastAsia="Times New Roman" w:hAnsi="Times New Roman"/>
              </w:rPr>
              <w:t xml:space="preserve">+8.4%</w:t>
            </w:r>
          </w:p>
        </w:tc>
      </w:tr>
      <w:tr>
        <w:tc>
          <w:tcPr>
            <w:tcW w:type="pct" w:w="40%"/>
          </w:tcPr>
          <w:p>
            <w:pPr>
              <w:spacing w:before="0" w:after="120"/>
            </w:pPr>
            <w:r>
              <w:rPr>
                <w:sz w:val="24"/>
                <w:szCs w:val="24"/>
                <w:rFonts w:ascii="Times New Roman" w:cs="Times New Roman" w:eastAsia="Times New Roman" w:hAnsi="Times New Roman"/>
              </w:rPr>
              <w:t xml:space="preserve">Baltimore</w:t>
            </w:r>
          </w:p>
        </w:tc>
        <w:tc>
          <w:tcPr>
            <w:tcW w:type="pct" w:w="35%"/>
          </w:tcPr>
          <w:p>
            <w:pPr>
              <w:spacing w:before="0" w:after="120"/>
              <w:jc w:val="right"/>
            </w:pPr>
            <w:r>
              <w:rPr>
                <w:sz w:val="24"/>
                <w:szCs w:val="24"/>
                <w:rFonts w:ascii="Times New Roman" w:cs="Times New Roman" w:eastAsia="Times New Roman" w:hAnsi="Times New Roman"/>
              </w:rPr>
              <w:t xml:space="preserve">311</w:t>
            </w:r>
          </w:p>
        </w:tc>
        <w:tc>
          <w:tcPr>
            <w:tcW w:type="pct" w:w="25%"/>
          </w:tcPr>
          <w:p>
            <w:pPr>
              <w:spacing w:before="0" w:after="120"/>
              <w:jc w:val="right"/>
            </w:pPr>
            <w:r>
              <w:rPr>
                <w:sz w:val="24"/>
                <w:szCs w:val="24"/>
                <w:rFonts w:ascii="Times New Roman" w:cs="Times New Roman" w:eastAsia="Times New Roman" w:hAnsi="Times New Roman"/>
              </w:rPr>
              <w:t xml:space="preserve">+1.9%</w:t>
            </w:r>
          </w:p>
        </w:tc>
      </w:tr>
      <w:tr>
        <w:tc>
          <w:tcPr>
            <w:tcW w:type="pct" w:w="40%"/>
          </w:tcPr>
          <w:p>
            <w:pPr>
              <w:spacing w:before="0" w:after="120"/>
            </w:pPr>
            <w:r>
              <w:rPr>
                <w:sz w:val="24"/>
                <w:szCs w:val="24"/>
                <w:rFonts w:ascii="Times New Roman" w:cs="Times New Roman" w:eastAsia="Times New Roman" w:hAnsi="Times New Roman"/>
              </w:rPr>
              <w:t xml:space="preserve">Wilmington</w:t>
            </w:r>
          </w:p>
        </w:tc>
        <w:tc>
          <w:tcPr>
            <w:tcW w:type="pct" w:w="35%"/>
          </w:tcPr>
          <w:p>
            <w:pPr>
              <w:spacing w:before="0" w:after="120"/>
              <w:jc w:val="right"/>
            </w:pPr>
            <w:r>
              <w:rPr>
                <w:sz w:val="24"/>
                <w:szCs w:val="24"/>
                <w:rFonts w:ascii="Times New Roman" w:cs="Times New Roman" w:eastAsia="Times New Roman" w:hAnsi="Times New Roman"/>
              </w:rPr>
              <w:t xml:space="preserve">186</w:t>
            </w:r>
          </w:p>
        </w:tc>
        <w:tc>
          <w:tcPr>
            <w:tcW w:type="pct" w:w="25%"/>
          </w:tcPr>
          <w:p>
            <w:pPr>
              <w:spacing w:before="0" w:after="120"/>
              <w:jc w:val="right"/>
            </w:pPr>
            <w:r>
              <w:rPr>
                <w:sz w:val="24"/>
                <w:szCs w:val="24"/>
                <w:rFonts w:ascii="Times New Roman" w:cs="Times New Roman" w:eastAsia="Times New Roman" w:hAnsi="Times New Roman"/>
              </w:rPr>
              <w:t xml:space="preserve">+4.5%</w:t>
            </w:r>
          </w:p>
        </w:tc>
      </w:tr>
    </w:tbl>
    <w:p>
      <w:pPr>
        <w:textboxTightWrap w:val="none"/>
      </w:pPr>
    </w:p>
    <w:sectPr>
      <w:headerReference w:type="default" r:id="rId10"/>
      <w:footerReference w:type="default" r:id="rId11"/>
      <w:type w:val="continuous"/>
      <w:pgSz w:w="12240" w:h="15840" w:orient="portrait"/>
      <w:pgMar w:top="1440" w:right="1987" w:bottom="1152" w:left="1440" w:header="708" w:footer="708" w:gutter="0"/>
      <w:pgNumType/>
      <w:cols w:space="720" w:num="2"/>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Fonts w:ascii="Times New Roman" w:cs="Times New Roman" w:eastAsia="Times New Roman" w:hAnsi="Times New Roman"/>
      </w:rPr>
      <w:t xml:space="preserve">Page </w:t>
    </w:r>
    <w:r>
      <w:rPr>
        <w:sz w:val="24"/>
        <w:szCs w:val="24"/>
        <w:rFonts w:ascii="Times New Roman" w:cs="Times New Roman" w:eastAsia="Times New Roman" w:hAnsi="Times New Roman"/>
      </w:rPr>
      <w:fldChar w:fldCharType="begin"/>
      <w:instrText xml:space="preserve">PAGE</w:instrText>
      <w:fldChar w:fldCharType="separate"/>
      <w:fldChar w:fldCharType="end"/>
    </w:r>
    <w:r>
      <w:rPr>
        <w:sz w:val="24"/>
        <w:szCs w:val="24"/>
        <w:rFonts w:ascii="Times New Roman" w:cs="Times New Roman" w:eastAsia="Times New Roman" w:hAnsi="Times New Roman"/>
      </w:rPr>
      <w:t xml:space="preserve"> of </w:t>
    </w:r>
    <w:r>
      <w:rPr>
        <w:sz w:val="24"/>
        <w:szCs w:val="24"/>
        <w:rFonts w:ascii="Times New Roman" w:cs="Times New Roman" w:eastAsia="Times New Roman" w:hAnsi="Times New Roman"/>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Fonts w:ascii="Times New Roman" w:cs="Times New Roman" w:eastAsia="Times New Roman" w:hAnsi="Times New Roman"/>
      </w:rPr>
      <w:t xml:space="preserve">Page </w:t>
    </w:r>
    <w:r>
      <w:rPr>
        <w:sz w:val="24"/>
        <w:szCs w:val="24"/>
        <w:rFonts w:ascii="Times New Roman" w:cs="Times New Roman" w:eastAsia="Times New Roman" w:hAnsi="Times New Roman"/>
      </w:rPr>
      <w:fldChar w:fldCharType="begin"/>
      <w:instrText xml:space="preserve">PAGE</w:instrText>
      <w:fldChar w:fldCharType="separate"/>
      <w:fldChar w:fldCharType="end"/>
    </w:r>
    <w:r>
      <w:rPr>
        <w:sz w:val="24"/>
        <w:szCs w:val="24"/>
        <w:rFonts w:ascii="Times New Roman" w:cs="Times New Roman" w:eastAsia="Times New Roman" w:hAnsi="Times New Roman"/>
      </w:rPr>
      <w:t xml:space="preserve"> of </w:t>
    </w:r>
    <w:r>
      <w:rPr>
        <w:sz w:val="24"/>
        <w:szCs w:val="24"/>
        <w:rFonts w:ascii="Times New Roman" w:cs="Times New Roman" w:eastAsia="Times New Roman" w:hAnsi="Times New Roman"/>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Fonts w:ascii="Times New Roman" w:cs="Times New Roman" w:eastAsia="Times New Roman" w:hAnsi="Times New Roman"/>
      </w:rPr>
      <w:t xml:space="preserve">Page </w:t>
    </w:r>
    <w:r>
      <w:rPr>
        <w:sz w:val="24"/>
        <w:szCs w:val="24"/>
        <w:rFonts w:ascii="Times New Roman" w:cs="Times New Roman" w:eastAsia="Times New Roman" w:hAnsi="Times New Roman"/>
      </w:rPr>
      <w:fldChar w:fldCharType="begin"/>
      <w:instrText xml:space="preserve">PAGE</w:instrText>
      <w:fldChar w:fldCharType="separate"/>
      <w:fldChar w:fldCharType="end"/>
    </w:r>
    <w:r>
      <w:rPr>
        <w:sz w:val="24"/>
        <w:szCs w:val="24"/>
        <w:rFonts w:ascii="Times New Roman" w:cs="Times New Roman" w:eastAsia="Times New Roman" w:hAnsi="Times New Roman"/>
      </w:rPr>
      <w:t xml:space="preserve"> of </w:t>
    </w:r>
    <w:r>
      <w:rPr>
        <w:sz w:val="24"/>
        <w:szCs w:val="24"/>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before="0" w:after="120"/>
      </w:pPr>
      <w:r>
        <w:rPr>
          <w:rStyle w:val="FootnoteReference"/>
        </w:rPr>
        <w:footnoteRef/>
      </w:r>
      <w:r>
        <w:rPr>
          <w:sz w:val="20"/>
          <w:szCs w:val="20"/>
          <w:rFonts w:ascii="Times New Roman" w:cs="Times New Roman" w:eastAsia="Times New Roman" w:hAnsi="Times New Roman"/>
        </w:rPr>
        <w:t xml:space="preserve">Provider was formerly known as Brightwater Data Partners LLC and changed its name on January 15, 2025.</w:t>
      </w:r>
    </w:p>
  </w:footnote>
  <w:footnote w:id="2">
    <w:p>
      <w:pPr>
        <w:spacing w:before="0" w:after="120"/>
      </w:pPr>
      <w:r>
        <w:rPr>
          <w:rStyle w:val="FootnoteReference"/>
        </w:rPr>
        <w:footnoteRef/>
      </w:r>
      <w:r>
        <w:rPr>
          <w:sz w:val="20"/>
          <w:szCs w:val="20"/>
          <w:rFonts w:ascii="Times New Roman" w:cs="Times New Roman" w:eastAsia="Times New Roman" w:hAnsi="Times New Roman"/>
        </w:rPr>
        <w:t xml:space="preserve">Interest is calculated daily on the unpaid balance from the due date until payment is received in full.</w:t>
      </w:r>
    </w:p>
  </w:footnote>
  <w:footnote w:id="3">
    <w:p>
      <w:pPr>
        <w:spacing w:before="0" w:after="120"/>
      </w:pPr>
      <w:r>
        <w:rPr>
          <w:rStyle w:val="FootnoteReference"/>
        </w:rPr>
        <w:footnoteRef/>
      </w:r>
      <w:r>
        <w:rPr>
          <w:sz w:val="20"/>
          <w:szCs w:val="20"/>
          <w:rFonts w:ascii="Times New Roman" w:cs="Times New Roman" w:eastAsia="Times New Roman" w:hAnsi="Times New Roman"/>
        </w:rPr>
        <w:t xml:space="preserve">For clarity, Section 4 (Confidentiality) survives for the period stated in that Section, and payment obligations accrued before termination survive until paid.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24"/>
        <w:szCs w:val="24"/>
        <w:rFonts w:ascii="Times New Roman" w:cs="Times New Roman" w:eastAsia="Times New Roman" w:hAnsi="Times New Roman"/>
      </w:rPr>
      <w:t xml:space="preserve">Master Services Agreement · Halvorsen / Brightwater · Confidential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24"/>
        <w:szCs w:val="24"/>
        <w:rFonts w:ascii="Times New Roman" w:cs="Times New Roman" w:eastAsia="Times New Roman" w:hAnsi="Times New Roman"/>
      </w:rPr>
      <w:t xml:space="preserve">Atlantic Freight Monitor · Quarterly Review</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24"/>
        <w:szCs w:val="24"/>
        <w:rFonts w:ascii="Times New Roman" w:cs="Times New Roman" w:eastAsia="Times New Roman" w:hAnsi="Times New Roman"/>
      </w:rPr>
      <w:t xml:space="preserve">Atlantic Freight Monitor · Quarterly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space"/>
      <w:lvlText w:val="•"/>
      <w:lvlJc w:val="left"/>
      <w:pPr>
        <w:ind w:left="720" w:hanging="360"/>
      </w:pPr>
    </w:lvl>
    <w:lvl w:ilvl="1" w15:tentative="1">
      <w:start w:val="1"/>
      <w:numFmt w:val="bullet"/>
      <w:suff w:val="space"/>
      <w:lvlText w:val="◦"/>
      <w:lvlJc w:val="left"/>
      <w:pPr>
        <w:ind w:left="1080" w:hanging="360"/>
      </w:pPr>
    </w:lvl>
    <w:lvl w:ilvl="2" w15:tentative="1">
      <w:start w:val="1"/>
      <w:numFmt w:val="bullet"/>
      <w:suff w:val="space"/>
      <w:lvlText w:val="▪"/>
      <w:lvlJc w:val="left"/>
      <w:pPr>
        <w:ind w:left="1440" w:hanging="360"/>
      </w:pPr>
    </w:lvl>
  </w:abstractNum>
  <w:abstractNum w:abstractNumId="3" w15:restartNumberingAfterBreak="0">
    <w:multiLevelType w:val="hybridMultilevel"/>
    <w:lvl w:ilvl="0" w15:tentative="1">
      <w:start w:val="1"/>
      <w:numFmt w:val="decimal"/>
      <w:suff w:val="space"/>
      <w:lvlText w:val="%1."/>
      <w:lvlJc w:val="left"/>
      <w:pPr>
        <w:ind w:left="720" w:hanging="360"/>
      </w:pPr>
    </w:lvl>
    <w:lvl w:ilvl="1" w15:tentative="1">
      <w:start w:val="1"/>
      <w:numFmt w:val="lowerLetter"/>
      <w:suff w:val="space"/>
      <w:lvlText w:val="%2."/>
      <w:lvlJc w:val="left"/>
      <w:pPr>
        <w:ind w:left="1080" w:hanging="360"/>
      </w:pPr>
    </w:lvl>
    <w:lvl w:ilvl="2" w15:tentative="1">
      <w:start w:val="1"/>
      <w:numFmt w:val="lowerRoman"/>
      <w:suff w:val="space"/>
      <w:lvlText w:val="%3."/>
      <w:lvlJc w:val="left"/>
      <w:pPr>
        <w:ind w:left="1440" w:hanging="36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sz w:val="48"/>
      <w:szCs w:val="48"/>
    </w:rPr>
  </w:style>
  <w:style w:type="paragraph" w:styleId="Heading2">
    <w:name w:val="Heading 2"/>
    <w:basedOn w:val="Normal"/>
    <w:next w:val="Normal"/>
    <w:qFormat/>
    <w:rPr>
      <w:sz w:val="36"/>
      <w:szCs w:val="36"/>
    </w:rPr>
  </w:style>
  <w:style w:type="paragraph" w:styleId="Heading3">
    <w:name w:val="Heading 3"/>
    <w:basedOn w:val="Normal"/>
    <w:next w:val="Normal"/>
    <w:qFormat/>
    <w:rPr>
      <w:sz w:val="30"/>
      <w:szCs w:val="30"/>
    </w:rPr>
  </w:style>
  <w:style w:type="paragraph" w:styleId="Heading4">
    <w:name w:val="Heading 4"/>
    <w:basedOn w:val="Normal"/>
    <w:next w:val="Normal"/>
    <w:qFormat/>
    <w:rPr>
      <w:sz w:val="27"/>
      <w:szCs w:val="27"/>
    </w:rPr>
  </w:style>
  <w:style w:type="paragraph" w:styleId="Heading5">
    <w:name w:val="Heading 5"/>
    <w:basedOn w:val="Normal"/>
    <w:next w:val="Normal"/>
    <w:qFormat/>
    <w:rPr>
      <w:sz w:val="24"/>
      <w:szCs w:val="24"/>
    </w:rPr>
  </w:style>
  <w:style w:type="paragraph" w:styleId="Heading6">
    <w:name w:val="Heading 6"/>
    <w:basedOn w:val="Normal"/>
    <w:next w:val="Normal"/>
    <w:qFormat/>
    <w:rPr>
      <w:sz w:val="21"/>
      <w:szCs w:val="21"/>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CodeInline">
    <w:name w:val="Code Inline"/>
    <w:uiPriority w:val="99"/>
    <w:unhideWhenUsed/>
    <w:rPr>
      <w:rFonts w:ascii="Courier New" w:cs="Courier New" w:eastAsia="Courier New" w:hAnsi="Courier New"/>
      <w:highlight w:val="lightGray"/>
      <w:highlightCs w:val="lightGray"/>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image" Target="media/1410640c875f9e4b939790d75336c47a0d3e7b4f.png"/><Relationship Id="rId13"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Application>Revise (revise.io)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2026-10-28T14:44:33.662Z</dcterms:created>
  <dcterms:modified xsi:type="dcterms:W3CDTF">2026-10-28T14:44:33.662Z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e.BlockSpacingPx">
    <vt:lpwstr>8</vt:lpwstr>
  </property>
</Properties>
</file>