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90"/>
        </w:rPr>
        <w:t>MASTER</w:t>
      </w:r>
      <w:r>
        <w:rPr>
          <w:spacing w:val="23"/>
        </w:rPr>
        <w:t> </w:t>
      </w:r>
      <w:r>
        <w:rPr>
          <w:w w:val="90"/>
        </w:rPr>
        <w:t>SERVICES</w:t>
      </w:r>
      <w:r>
        <w:rPr>
          <w:spacing w:val="24"/>
        </w:rPr>
        <w:t> </w:t>
      </w:r>
      <w:r>
        <w:rPr>
          <w:spacing w:val="-2"/>
          <w:w w:val="90"/>
        </w:rPr>
        <w:t>AGREEMENT</w:t>
      </w:r>
    </w:p>
    <w:p>
      <w:pPr>
        <w:pStyle w:val="BodyText"/>
        <w:spacing w:before="187"/>
        <w:ind w:left="361" w:right="462"/>
      </w:pPr>
      <w:r>
        <w:rPr/>
        <w:t>This Master Services Agreement (the “Agreement”) is entered into as of March 4, 2026 (t</w:t>
      </w:r>
      <w:r>
        <w:rPr/>
        <w:t>he</w:t>
      </w:r>
      <w:r>
        <w:rPr/>
        <w:t> “Effective Date”) by and between Halvorsen Marine Logistics, Inc., a Delaware corporati</w:t>
      </w:r>
      <w:r>
        <w:rPr/>
        <w:t>on</w:t>
      </w:r>
      <w:r>
        <w:rPr/>
        <w:t> with</w:t>
      </w:r>
      <w:r>
        <w:rPr>
          <w:spacing w:val="-9"/>
        </w:rPr>
        <w:t> </w:t>
      </w:r>
      <w:r>
        <w:rPr/>
        <w:t>offices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/>
        <w:t>4410</w:t>
      </w:r>
      <w:r>
        <w:rPr>
          <w:spacing w:val="-7"/>
        </w:rPr>
        <w:t> </w:t>
      </w:r>
      <w:r>
        <w:rPr/>
        <w:t>Quaayside</w:t>
      </w:r>
      <w:r>
        <w:rPr>
          <w:spacing w:val="-7"/>
        </w:rPr>
        <w:t> </w:t>
      </w:r>
      <w:r>
        <w:rPr/>
        <w:t>Drive,</w:t>
      </w:r>
      <w:r>
        <w:rPr>
          <w:spacing w:val="-6"/>
        </w:rPr>
        <w:t> </w:t>
      </w:r>
      <w:r>
        <w:rPr/>
        <w:t>Norfolk,</w:t>
      </w:r>
      <w:r>
        <w:rPr>
          <w:spacing w:val="-6"/>
        </w:rPr>
        <w:t> </w:t>
      </w:r>
      <w:r>
        <w:rPr/>
        <w:t>Virginia</w:t>
      </w:r>
      <w:r>
        <w:rPr>
          <w:spacing w:val="-7"/>
        </w:rPr>
        <w:t> </w:t>
      </w:r>
      <w:r>
        <w:rPr/>
        <w:t>23</w:t>
      </w:r>
      <w:r>
        <w:rPr>
          <w:spacing w:val="-30"/>
        </w:rPr>
        <w:t> </w:t>
      </w:r>
      <w:r>
        <w:rPr/>
        <w:t>510</w:t>
      </w:r>
      <w:r>
        <w:rPr>
          <w:spacing w:val="-7"/>
        </w:rPr>
        <w:t> </w:t>
      </w:r>
      <w:r>
        <w:rPr/>
        <w:t>(“Client”),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Brightwat</w:t>
      </w:r>
      <w:r>
        <w:rPr/>
        <w:t>er</w:t>
      </w:r>
      <w:r>
        <w:rPr/>
        <w:t> Analytics</w:t>
      </w:r>
      <w:r>
        <w:rPr>
          <w:spacing w:val="-6"/>
        </w:rPr>
        <w:t> </w:t>
      </w:r>
      <w:r>
        <w:rPr/>
        <w:t>LLC,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Colorado</w:t>
      </w:r>
      <w:r>
        <w:rPr>
          <w:spacing w:val="-7"/>
        </w:rPr>
        <w:t> </w:t>
      </w:r>
      <w:r>
        <w:rPr/>
        <w:t>li</w:t>
      </w:r>
      <w:bookmarkStart w:name="_bookmark0" w:id="1"/>
      <w:bookmarkEnd w:id="1"/>
      <w:r>
        <w:rPr/>
        <w:t>m</w:t>
      </w:r>
      <w:r>
        <w:rPr/>
        <w:t>ited</w:t>
      </w:r>
      <w:r>
        <w:rPr>
          <w:spacing w:val="-7"/>
        </w:rPr>
        <w:t> </w:t>
      </w:r>
      <w:r>
        <w:rPr/>
        <w:t>liability</w:t>
      </w:r>
      <w:r>
        <w:rPr>
          <w:spacing w:val="-7"/>
        </w:rPr>
        <w:t> </w:t>
      </w:r>
      <w:r>
        <w:rPr/>
        <w:t>company</w:t>
      </w:r>
      <w:r>
        <w:rPr>
          <w:spacing w:val="-6"/>
        </w:rPr>
        <w:t> </w:t>
      </w:r>
      <w:r>
        <w:rPr/>
        <w:t>with</w:t>
      </w:r>
      <w:r>
        <w:rPr>
          <w:spacing w:val="-7"/>
        </w:rPr>
        <w:t> </w:t>
      </w:r>
      <w:r>
        <w:rPr/>
        <w:t>offices</w:t>
      </w:r>
      <w:r>
        <w:rPr>
          <w:spacing w:val="-7"/>
        </w:rPr>
        <w:t> </w:t>
      </w:r>
      <w:r>
        <w:rPr/>
        <w:t>at</w:t>
      </w:r>
      <w:r>
        <w:rPr>
          <w:spacing w:val="-6"/>
        </w:rPr>
        <w:t> </w:t>
      </w:r>
      <w:r>
        <w:rPr/>
        <w:t>918</w:t>
      </w:r>
      <w:r>
        <w:rPr>
          <w:spacing w:val="-7"/>
        </w:rPr>
        <w:t> </w:t>
      </w:r>
      <w:r>
        <w:rPr/>
        <w:t>Pearl</w:t>
      </w:r>
      <w:r>
        <w:rPr>
          <w:spacing w:val="-7"/>
        </w:rPr>
        <w:t> </w:t>
      </w:r>
      <w:r>
        <w:rPr/>
        <w:t>Street,</w:t>
      </w:r>
      <w:r>
        <w:rPr>
          <w:spacing w:val="-7"/>
        </w:rPr>
        <w:t> </w:t>
      </w:r>
      <w:r>
        <w:rPr/>
        <w:t>Boulder</w:t>
      </w:r>
      <w:r>
        <w:rPr/>
        <w:t>,</w:t>
      </w:r>
      <w:r>
        <w:rPr/>
        <w:t> Colorado 80</w:t>
      </w:r>
      <w:r>
        <w:rPr>
          <w:spacing w:val="-19"/>
        </w:rPr>
        <w:t> </w:t>
      </w:r>
      <w:r>
        <w:rPr/>
        <w:t>302 (“Provider”).</w:t>
      </w:r>
      <w:hyperlink w:history="true" w:anchor="_bookmark2">
        <w:r>
          <w:rPr>
            <w:vertAlign w:val="superscript"/>
          </w:rPr>
          <w:t>1</w:t>
        </w:r>
      </w:hyperlink>
    </w:p>
    <w:p>
      <w:pPr>
        <w:pStyle w:val="BodyText"/>
        <w:spacing w:before="68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0"/>
          <w:spacing w:val="-2"/>
        </w:rPr>
        <w:t>Definnitions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83" w:after="0"/>
        <w:ind w:left="1081" w:right="605" w:hanging="360"/>
        <w:jc w:val="left"/>
        <w:rPr>
          <w:sz w:val="24"/>
        </w:rPr>
      </w:pPr>
      <w:r>
        <w:rPr>
          <w:sz w:val="24"/>
        </w:rPr>
        <w:t>“Deliverables” means the reports, dashboards, and data models that Provider prepar</w:t>
      </w:r>
      <w:r>
        <w:rPr>
          <w:sz w:val="24"/>
        </w:rPr>
        <w:t>es</w:t>
      </w:r>
      <w:r>
        <w:rPr>
          <w:sz w:val="24"/>
        </w:rPr>
        <w:t> for Client under a Statement of Work.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32" w:after="0"/>
        <w:ind w:left="1081" w:right="1142" w:hanging="360"/>
        <w:jc w:val="left"/>
        <w:rPr>
          <w:sz w:val="24"/>
        </w:rPr>
      </w:pPr>
      <w:r>
        <w:rPr>
          <w:sz w:val="24"/>
        </w:rPr>
        <w:t>“Statement of Work” or “SOW” means a document executed by both parties tha</w:t>
      </w:r>
      <w:r>
        <w:rPr>
          <w:sz w:val="24"/>
        </w:rPr>
        <w:t>t</w:t>
      </w:r>
      <w:r>
        <w:rPr>
          <w:sz w:val="24"/>
        </w:rPr>
        <w:t> describes specific services, fees, and milestones.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32" w:after="0"/>
        <w:ind w:left="1081" w:right="815" w:hanging="360"/>
        <w:jc w:val="left"/>
        <w:rPr>
          <w:sz w:val="24"/>
        </w:rPr>
      </w:pPr>
      <w:r>
        <w:rPr>
          <w:sz w:val="24"/>
        </w:rPr>
        <w:t>“Confidential Information” means non-public information disclosed by either party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including:</w:t>
      </w:r>
    </w:p>
    <w:p>
      <w:pPr>
        <w:pStyle w:val="ListParagraph"/>
        <w:numPr>
          <w:ilvl w:val="2"/>
          <w:numId w:val="1"/>
        </w:numPr>
        <w:tabs>
          <w:tab w:pos="1801" w:val="left" w:leader="none"/>
        </w:tabs>
        <w:spacing w:line="240" w:lineRule="auto" w:before="32" w:after="0"/>
        <w:ind w:left="1801" w:right="0" w:hanging="359"/>
        <w:jc w:val="left"/>
        <w:rPr>
          <w:sz w:val="24"/>
        </w:rPr>
      </w:pPr>
      <w:r>
        <w:rPr>
          <w:sz w:val="24"/>
        </w:rPr>
        <w:t>pricing,</w:t>
      </w:r>
      <w:r>
        <w:rPr>
          <w:spacing w:val="3"/>
          <w:sz w:val="24"/>
        </w:rPr>
        <w:t> </w:t>
      </w:r>
      <w:r>
        <w:rPr>
          <w:sz w:val="24"/>
        </w:rPr>
        <w:t>vessel</w:t>
      </w:r>
      <w:r>
        <w:rPr>
          <w:spacing w:val="3"/>
          <w:sz w:val="24"/>
        </w:rPr>
        <w:t> </w:t>
      </w:r>
      <w:r>
        <w:rPr>
          <w:sz w:val="24"/>
        </w:rPr>
        <w:t>schedules,</w:t>
      </w:r>
      <w:r>
        <w:rPr>
          <w:spacing w:val="3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z w:val="24"/>
        </w:rPr>
        <w:t>customer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lists;</w:t>
      </w:r>
    </w:p>
    <w:p>
      <w:pPr>
        <w:pStyle w:val="ListParagraph"/>
        <w:numPr>
          <w:ilvl w:val="2"/>
          <w:numId w:val="1"/>
        </w:numPr>
        <w:tabs>
          <w:tab w:pos="1800" w:val="left" w:leader="none"/>
        </w:tabs>
        <w:spacing w:line="240" w:lineRule="auto" w:before="34" w:after="0"/>
        <w:ind w:left="1800" w:right="0" w:hanging="358"/>
        <w:jc w:val="left"/>
        <w:rPr>
          <w:sz w:val="24"/>
        </w:rPr>
      </w:pPr>
      <w:r>
        <w:rPr>
          <w:sz w:val="24"/>
        </w:rPr>
        <w:t>source</w:t>
      </w:r>
      <w:r>
        <w:rPr>
          <w:spacing w:val="2"/>
          <w:sz w:val="24"/>
        </w:rPr>
        <w:t> </w:t>
      </w:r>
      <w:r>
        <w:rPr>
          <w:sz w:val="24"/>
        </w:rPr>
        <w:t>code</w:t>
      </w:r>
      <w:r>
        <w:rPr>
          <w:spacing w:val="2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z w:val="24"/>
        </w:rPr>
        <w:t>model</w:t>
      </w:r>
      <w:r>
        <w:rPr>
          <w:spacing w:val="2"/>
          <w:sz w:val="24"/>
        </w:rPr>
        <w:t> </w:t>
      </w:r>
      <w:r>
        <w:rPr>
          <w:sz w:val="24"/>
        </w:rPr>
        <w:t>weights;</w:t>
      </w:r>
      <w:r>
        <w:rPr>
          <w:spacing w:val="3"/>
          <w:sz w:val="24"/>
        </w:rPr>
        <w:t> </w:t>
      </w:r>
      <w:r>
        <w:rPr>
          <w:spacing w:val="-5"/>
          <w:sz w:val="24"/>
        </w:rPr>
        <w:t>and</w:t>
      </w:r>
    </w:p>
    <w:p>
      <w:pPr>
        <w:pStyle w:val="ListParagraph"/>
        <w:numPr>
          <w:ilvl w:val="2"/>
          <w:numId w:val="1"/>
        </w:numPr>
        <w:tabs>
          <w:tab w:pos="1801" w:val="left" w:leader="none"/>
        </w:tabs>
        <w:spacing w:line="240" w:lineRule="auto" w:before="34" w:after="0"/>
        <w:ind w:left="1801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10"/>
          <w:sz w:val="24"/>
        </w:rPr>
        <w:t> </w:t>
      </w:r>
      <w:r>
        <w:rPr>
          <w:sz w:val="24"/>
        </w:rPr>
        <w:t>terms</w:t>
      </w:r>
      <w:r>
        <w:rPr>
          <w:spacing w:val="8"/>
          <w:sz w:val="24"/>
        </w:rPr>
        <w:t> </w:t>
      </w:r>
      <w:r>
        <w:rPr>
          <w:sz w:val="24"/>
        </w:rPr>
        <w:t>of</w:t>
      </w:r>
      <w:r>
        <w:rPr>
          <w:spacing w:val="11"/>
          <w:sz w:val="24"/>
        </w:rPr>
        <w:t> </w:t>
      </w:r>
      <w:r>
        <w:rPr>
          <w:sz w:val="24"/>
        </w:rPr>
        <w:t>this</w:t>
      </w:r>
      <w:r>
        <w:rPr>
          <w:spacing w:val="10"/>
          <w:sz w:val="24"/>
        </w:rPr>
        <w:t> </w:t>
      </w:r>
      <w:r>
        <w:rPr>
          <w:spacing w:val="-2"/>
          <w:sz w:val="24"/>
        </w:rPr>
        <w:t>Agreement.</w:t>
      </w:r>
    </w:p>
    <w:p>
      <w:pPr>
        <w:pStyle w:val="BodyText"/>
        <w:spacing w:before="75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0"/>
        </w:rPr>
        <w:t>Services</w:t>
      </w:r>
      <w:r>
        <w:rPr>
          <w:color w:val="0E4660"/>
          <w:spacing w:val="-3"/>
        </w:rPr>
        <w:t> </w:t>
      </w:r>
      <w:r>
        <w:rPr>
          <w:color w:val="0E4660"/>
        </w:rPr>
        <w:t>and</w:t>
      </w:r>
      <w:r>
        <w:rPr>
          <w:color w:val="0E4660"/>
          <w:spacing w:val="-2"/>
        </w:rPr>
        <w:t> </w:t>
      </w:r>
      <w:r>
        <w:rPr>
          <w:color w:val="0E4660"/>
          <w:spacing w:val="-4"/>
        </w:rPr>
        <w:t>Fees</w:t>
      </w:r>
    </w:p>
    <w:p>
      <w:pPr>
        <w:pStyle w:val="BodyText"/>
        <w:spacing w:before="183"/>
        <w:ind w:left="361" w:right="469"/>
        <w:jc w:val="both"/>
      </w:pPr>
      <w:r>
        <w:rPr/>
        <w:t>Provider will perform the services described in each SOW. Client will pay the fees listed belo</w:t>
      </w:r>
      <w:r>
        <w:rPr/>
        <w:t>w</w:t>
      </w:r>
      <w:r>
        <w:rPr/>
        <w:t> within thirty (30) days of each invoice. Late amou</w:t>
      </w:r>
      <w:bookmarkStart w:name="_bookmark1" w:id="2"/>
      <w:bookmarkEnd w:id="2"/>
      <w:r>
        <w:rPr/>
        <w:t>n</w:t>
      </w:r>
      <w:r>
        <w:rPr/>
        <w:t>ts accrue interest at 1.25% per month or t</w:t>
      </w:r>
      <w:r>
        <w:rPr/>
        <w:t>he</w:t>
      </w:r>
      <w:r>
        <w:rPr/>
        <w:t> highest rate permitted by law, whichever is lower.</w:t>
      </w:r>
      <w:hyperlink w:history="true" w:anchor="_bookmark3">
        <w:r>
          <w:rPr>
            <w:vertAlign w:val="superscript"/>
          </w:rPr>
          <w:t>1</w:t>
        </w:r>
      </w:hyperlink>
    </w:p>
    <w:p>
      <w:pPr>
        <w:pStyle w:val="BodyText"/>
        <w:spacing w:before="174"/>
        <w:ind w:left="361"/>
        <w:jc w:val="both"/>
      </w:pPr>
      <w:r>
        <w:rPr>
          <w:spacing w:val="-4"/>
        </w:rPr>
        <w:t>Table</w:t>
      </w:r>
      <w:r>
        <w:rPr>
          <w:spacing w:val="-8"/>
        </w:rPr>
        <w:t> </w:t>
      </w:r>
      <w:r>
        <w:rPr>
          <w:spacing w:val="-4"/>
        </w:rPr>
        <w:t>1.</w:t>
      </w:r>
      <w:r>
        <w:rPr>
          <w:spacing w:val="-7"/>
        </w:rPr>
        <w:t> </w:t>
      </w:r>
      <w:r>
        <w:rPr>
          <w:spacing w:val="-4"/>
        </w:rPr>
        <w:t>Fee</w:t>
      </w:r>
      <w:r>
        <w:rPr>
          <w:spacing w:val="-8"/>
        </w:rPr>
        <w:t> </w:t>
      </w:r>
      <w:r>
        <w:rPr>
          <w:spacing w:val="-4"/>
        </w:rPr>
        <w:t>schedule</w:t>
      </w:r>
    </w:p>
    <w:p>
      <w:pPr>
        <w:pStyle w:val="BodyText"/>
        <w:spacing w:before="4"/>
        <w:rPr>
          <w:sz w:val="16"/>
        </w:rPr>
      </w:pPr>
    </w:p>
    <w:tbl>
      <w:tblPr>
        <w:tblW w:w="0" w:type="auto"/>
        <w:jc w:val="left"/>
        <w:tblInd w:w="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2340"/>
        <w:gridCol w:w="2340"/>
        <w:gridCol w:w="2340"/>
      </w:tblGrid>
      <w:tr>
        <w:trPr>
          <w:trHeight w:val="510" w:hRule="atLeast"/>
        </w:trPr>
        <w:tc>
          <w:tcPr>
            <w:tcW w:w="2340" w:type="dxa"/>
          </w:tcPr>
          <w:p>
            <w:pPr>
              <w:pStyle w:val="TableParagraph"/>
              <w:spacing w:before="3"/>
              <w:ind w:left="109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b/>
                <w:spacing w:val="-2"/>
                <w:sz w:val="24"/>
              </w:rPr>
              <w:t>Service</w:t>
            </w:r>
          </w:p>
        </w:tc>
        <w:tc>
          <w:tcPr>
            <w:tcW w:w="2340" w:type="dxa"/>
          </w:tcPr>
          <w:p>
            <w:pPr>
              <w:pStyle w:val="TableParagraph"/>
              <w:spacing w:before="3"/>
              <w:ind w:left="108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b/>
                <w:spacing w:val="-4"/>
                <w:sz w:val="24"/>
              </w:rPr>
              <w:t>Unit</w:t>
            </w:r>
          </w:p>
        </w:tc>
        <w:tc>
          <w:tcPr>
            <w:tcW w:w="2340" w:type="dxa"/>
          </w:tcPr>
          <w:p>
            <w:pPr>
              <w:pStyle w:val="TableParagraph"/>
              <w:spacing w:before="3"/>
              <w:ind w:left="108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b/>
                <w:sz w:val="24"/>
              </w:rPr>
              <w:t>Rate</w:t>
            </w:r>
            <w:r>
              <w:rPr>
                <w:rFonts w:ascii="Book Antiqua"/>
                <w:b/>
                <w:spacing w:val="-13"/>
                <w:sz w:val="24"/>
              </w:rPr>
              <w:t> </w:t>
            </w:r>
            <w:r>
              <w:rPr>
                <w:rFonts w:ascii="Book Antiqua"/>
                <w:b/>
                <w:spacing w:val="-2"/>
                <w:sz w:val="24"/>
              </w:rPr>
              <w:t>(USD)</w:t>
            </w:r>
          </w:p>
        </w:tc>
        <w:tc>
          <w:tcPr>
            <w:tcW w:w="2340" w:type="dxa"/>
          </w:tcPr>
          <w:p>
            <w:pPr>
              <w:pStyle w:val="TableParagraph"/>
              <w:spacing w:before="3"/>
              <w:ind w:left="108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b/>
                <w:spacing w:val="-7"/>
                <w:sz w:val="24"/>
              </w:rPr>
              <w:t>Monthly </w:t>
            </w:r>
            <w:r>
              <w:rPr>
                <w:rFonts w:ascii="Book Antiqua"/>
                <w:b/>
                <w:spacing w:val="-2"/>
                <w:sz w:val="24"/>
              </w:rPr>
              <w:t>minimum</w:t>
            </w:r>
          </w:p>
        </w:tc>
      </w:tr>
      <w:tr>
        <w:trPr>
          <w:trHeight w:val="473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z w:val="24"/>
              </w:rPr>
              <w:t>Route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analytics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vessel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1,850.00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12,950.00</w:t>
            </w:r>
          </w:p>
        </w:tc>
      </w:tr>
      <w:tr>
        <w:trPr>
          <w:trHeight w:val="474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z w:val="24"/>
              </w:rPr>
              <w:t>Port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congestion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4"/>
                <w:sz w:val="24"/>
              </w:rPr>
              <w:t>feed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port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640.00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3,200.00</w:t>
            </w:r>
          </w:p>
        </w:tc>
      </w:tr>
      <w:tr>
        <w:trPr>
          <w:trHeight w:val="474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z w:val="24"/>
              </w:rPr>
              <w:t>Custom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modeling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hour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285.00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>
        <w:trPr>
          <w:trHeight w:val="473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Onboarding</w:t>
            </w:r>
          </w:p>
        </w:tc>
        <w:tc>
          <w:tcPr>
            <w:tcW w:w="7020" w:type="dxa"/>
            <w:gridSpan w:val="3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z w:val="24"/>
              </w:rPr>
              <w:t>One-time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fee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7,500.00,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invoiced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Effective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Date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913764</wp:posOffset>
                </wp:positionH>
                <wp:positionV relativeFrom="paragraph">
                  <wp:posOffset>282599</wp:posOffset>
                </wp:positionV>
                <wp:extent cx="1830070" cy="762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830070" cy="7620"/>
                          <a:chExt cx="183007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0" y="6349"/>
                                </a:move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49997pt;margin-top:22.251953pt;width:144.1pt;height:.6pt;mso-position-horizontal-relative:page;mso-position-vertical-relative:paragraph;z-index:-15728640;mso-wrap-distance-left:0;mso-wrap-distance-right:0" id="docshapegroup3" coordorigin="1439,445" coordsize="2882,12">
                <v:rect style="position:absolute;left:1440;top:446;width:2880;height:10" id="docshape4" filled="true" fillcolor="#000000" stroked="false">
                  <v:fill type="solid"/>
                </v:rect>
                <v:rect style="position:absolute;left:1440;top:446;width:2880;height:10" id="docshape5" filled="false" stroked="true" strokeweight=".1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0"/>
        <w:ind w:left="361" w:right="462"/>
      </w:pPr>
      <w:bookmarkStart w:name="_bookmark2" w:id="3"/>
      <w:bookmarkEnd w:id="3"/>
      <w:r>
        <w:rPr/>
      </w:r>
      <w:hyperlink w:history="true" w:anchor="_bookmark0">
        <w:r>
          <w:rPr>
            <w:vertAlign w:val="superscript"/>
          </w:rPr>
          <w:t>1</w:t>
        </w:r>
      </w:hyperlink>
      <w:r>
        <w:rPr>
          <w:vertAlign w:val="baseline"/>
        </w:rPr>
        <w:t> Provider was formerly known as Brightwater Data Partners LLC and changed its name </w:t>
      </w:r>
      <w:r>
        <w:rPr>
          <w:vertAlign w:val="baseline"/>
        </w:rPr>
        <w:t>on</w:t>
      </w:r>
      <w:r>
        <w:rPr>
          <w:vertAlign w:val="baseline"/>
        </w:rPr>
        <w:t> January 15, 2025.</w:t>
      </w:r>
    </w:p>
    <w:p>
      <w:pPr>
        <w:pStyle w:val="BodyText"/>
        <w:spacing w:before="196"/>
        <w:ind w:left="361" w:right="481"/>
        <w:jc w:val="both"/>
      </w:pPr>
      <w:bookmarkStart w:name="_bookmark3" w:id="4"/>
      <w:bookmarkEnd w:id="4"/>
      <w:r>
        <w:rPr/>
      </w:r>
      <w:hyperlink w:history="true" w:anchor="_bookmark1">
        <w:r>
          <w:rPr>
            <w:vertAlign w:val="superscript"/>
          </w:rPr>
          <w:t>1</w:t>
        </w:r>
      </w:hyperlink>
      <w:r>
        <w:rPr>
          <w:vertAlign w:val="baseline"/>
        </w:rPr>
        <w:t> Interest is calculated daily on the unpaid balance from the due date until payment is receive</w:t>
      </w:r>
      <w:r>
        <w:rPr>
          <w:vertAlign w:val="baseline"/>
        </w:rPr>
        <w:t>d</w:t>
      </w:r>
      <w:r>
        <w:rPr>
          <w:vertAlign w:val="baseline"/>
        </w:rPr>
        <w:t> in full.</w:t>
      </w:r>
    </w:p>
    <w:p>
      <w:pPr>
        <w:pStyle w:val="BodyText"/>
        <w:spacing w:after="0"/>
        <w:jc w:val="both"/>
        <w:sectPr>
          <w:headerReference w:type="default" r:id="rId5"/>
          <w:footerReference w:type="default" r:id="rId6"/>
          <w:type w:val="continuous"/>
          <w:pgSz w:w="12240" w:h="15840"/>
          <w:pgMar w:header="720" w:footer="994" w:top="1340" w:bottom="1180" w:left="1080" w:right="1080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74" w:after="0"/>
        <w:ind w:left="1081" w:right="0" w:hanging="720"/>
        <w:jc w:val="left"/>
      </w:pPr>
      <w:r>
        <w:rPr>
          <w:color w:val="0E4660"/>
        </w:rPr>
        <w:t>Term</w:t>
      </w:r>
      <w:r>
        <w:rPr>
          <w:color w:val="0E4660"/>
          <w:spacing w:val="1"/>
        </w:rPr>
        <w:t> </w:t>
      </w:r>
      <w:r>
        <w:rPr>
          <w:color w:val="0E4660"/>
        </w:rPr>
        <w:t>and</w:t>
      </w:r>
      <w:r>
        <w:rPr>
          <w:color w:val="0E4660"/>
          <w:spacing w:val="3"/>
        </w:rPr>
        <w:t> </w:t>
      </w:r>
      <w:r>
        <w:rPr>
          <w:color w:val="0E4660"/>
          <w:spacing w:val="-2"/>
        </w:rPr>
        <w:t>Termination</w:t>
      </w:r>
    </w:p>
    <w:p>
      <w:pPr>
        <w:pStyle w:val="BodyText"/>
        <w:spacing w:before="182"/>
        <w:ind w:left="361" w:right="462"/>
      </w:pPr>
      <w:r>
        <w:rPr/>
        <w:t>The initial term begins on the Effective Date and continues for twenty-four (24) months. Eit</w:t>
      </w:r>
      <w:r>
        <w:rPr/>
        <w:t>her</w:t>
      </w:r>
      <w:r>
        <w:rPr/>
        <w:t> party may terminate this Agreement: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176" w:after="0"/>
        <w:ind w:left="1080" w:right="0" w:hanging="359"/>
        <w:jc w:val="left"/>
        <w:rPr>
          <w:sz w:val="24"/>
        </w:rPr>
      </w:pPr>
      <w:r>
        <w:rPr>
          <w:sz w:val="24"/>
        </w:rPr>
        <w:t>for convenience,</w:t>
      </w:r>
      <w:r>
        <w:rPr>
          <w:spacing w:val="2"/>
          <w:sz w:val="24"/>
        </w:rPr>
        <w:t> </w:t>
      </w:r>
      <w:r>
        <w:rPr>
          <w:sz w:val="24"/>
        </w:rPr>
        <w:t>on</w:t>
      </w:r>
      <w:r>
        <w:rPr>
          <w:spacing w:val="1"/>
          <w:sz w:val="24"/>
        </w:rPr>
        <w:t> </w:t>
      </w:r>
      <w:r>
        <w:rPr>
          <w:sz w:val="24"/>
        </w:rPr>
        <w:t>ninety</w:t>
      </w:r>
      <w:r>
        <w:rPr>
          <w:spacing w:val="2"/>
          <w:sz w:val="24"/>
        </w:rPr>
        <w:t> </w:t>
      </w:r>
      <w:r>
        <w:rPr>
          <w:sz w:val="24"/>
        </w:rPr>
        <w:t>(90)</w:t>
      </w:r>
      <w:r>
        <w:rPr>
          <w:spacing w:val="2"/>
          <w:sz w:val="24"/>
        </w:rPr>
        <w:t> </w:t>
      </w:r>
      <w:r>
        <w:rPr>
          <w:sz w:val="24"/>
        </w:rPr>
        <w:t>days’ written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notice;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34" w:after="0"/>
        <w:ind w:left="1080" w:right="0" w:hanging="359"/>
        <w:jc w:val="left"/>
        <w:rPr>
          <w:sz w:val="24"/>
        </w:rPr>
      </w:pPr>
      <w:r>
        <w:rPr>
          <w:sz w:val="24"/>
        </w:rPr>
        <w:t>for</w:t>
      </w:r>
      <w:r>
        <w:rPr>
          <w:spacing w:val="9"/>
          <w:sz w:val="24"/>
        </w:rPr>
        <w:t> </w:t>
      </w:r>
      <w:r>
        <w:rPr>
          <w:sz w:val="24"/>
        </w:rPr>
        <w:t>material</w:t>
      </w:r>
      <w:r>
        <w:rPr>
          <w:spacing w:val="10"/>
          <w:sz w:val="24"/>
        </w:rPr>
        <w:t> </w:t>
      </w:r>
      <w:r>
        <w:rPr>
          <w:sz w:val="24"/>
        </w:rPr>
        <w:t>breach</w:t>
      </w:r>
      <w:r>
        <w:rPr>
          <w:spacing w:val="9"/>
          <w:sz w:val="24"/>
        </w:rPr>
        <w:t> </w:t>
      </w:r>
      <w:r>
        <w:rPr>
          <w:sz w:val="24"/>
        </w:rPr>
        <w:t>that</w:t>
      </w:r>
      <w:r>
        <w:rPr>
          <w:spacing w:val="11"/>
          <w:sz w:val="24"/>
        </w:rPr>
        <w:t> </w:t>
      </w:r>
      <w:r>
        <w:rPr>
          <w:sz w:val="24"/>
        </w:rPr>
        <w:t>remains</w:t>
      </w:r>
      <w:r>
        <w:rPr>
          <w:spacing w:val="11"/>
          <w:sz w:val="24"/>
        </w:rPr>
        <w:t> </w:t>
      </w:r>
      <w:r>
        <w:rPr>
          <w:sz w:val="24"/>
        </w:rPr>
        <w:t>uncured</w:t>
      </w:r>
      <w:r>
        <w:rPr>
          <w:spacing w:val="9"/>
          <w:sz w:val="24"/>
        </w:rPr>
        <w:t> </w:t>
      </w:r>
      <w:r>
        <w:rPr>
          <w:sz w:val="24"/>
        </w:rPr>
        <w:t>thirty</w:t>
      </w:r>
      <w:r>
        <w:rPr>
          <w:spacing w:val="11"/>
          <w:sz w:val="24"/>
        </w:rPr>
        <w:t> </w:t>
      </w:r>
      <w:r>
        <w:rPr>
          <w:sz w:val="24"/>
        </w:rPr>
        <w:t>(30)</w:t>
      </w:r>
      <w:r>
        <w:rPr>
          <w:spacing w:val="11"/>
          <w:sz w:val="24"/>
        </w:rPr>
        <w:t> </w:t>
      </w:r>
      <w:r>
        <w:rPr>
          <w:sz w:val="24"/>
        </w:rPr>
        <w:t>days</w:t>
      </w:r>
      <w:r>
        <w:rPr>
          <w:spacing w:val="9"/>
          <w:sz w:val="24"/>
        </w:rPr>
        <w:t> </w:t>
      </w:r>
      <w:r>
        <w:rPr>
          <w:sz w:val="24"/>
        </w:rPr>
        <w:t>after</w:t>
      </w:r>
      <w:r>
        <w:rPr>
          <w:spacing w:val="10"/>
          <w:sz w:val="24"/>
        </w:rPr>
        <w:t> </w:t>
      </w:r>
      <w:r>
        <w:rPr>
          <w:sz w:val="24"/>
        </w:rPr>
        <w:t>written</w:t>
      </w:r>
      <w:r>
        <w:rPr>
          <w:spacing w:val="9"/>
          <w:sz w:val="24"/>
        </w:rPr>
        <w:t> </w:t>
      </w:r>
      <w:r>
        <w:rPr>
          <w:sz w:val="24"/>
        </w:rPr>
        <w:t>notice;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or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34" w:after="0"/>
        <w:ind w:left="1081" w:right="999" w:hanging="360"/>
        <w:jc w:val="left"/>
        <w:rPr>
          <w:sz w:val="24"/>
        </w:rPr>
      </w:pPr>
      <w:r>
        <w:rPr>
          <w:sz w:val="24"/>
        </w:rPr>
        <w:t>immediately, if the other party becomes insolvent or makes an assignment for t</w:t>
      </w:r>
      <w:r>
        <w:rPr>
          <w:sz w:val="24"/>
        </w:rPr>
        <w:t>he</w:t>
      </w:r>
      <w:r>
        <w:rPr>
          <w:sz w:val="24"/>
        </w:rPr>
        <w:t> benefit of creditors.</w:t>
      </w:r>
    </w:p>
    <w:p>
      <w:pPr>
        <w:pStyle w:val="BodyText"/>
        <w:spacing w:before="176"/>
        <w:ind w:left="361"/>
      </w:pPr>
      <w:r>
        <w:rPr/>
        <w:t>Sections</w:t>
      </w:r>
      <w:r>
        <w:rPr>
          <w:spacing w:val="4"/>
        </w:rPr>
        <w:t> </w:t>
      </w:r>
      <w:r>
        <w:rPr/>
        <w:t>4,</w:t>
      </w:r>
      <w:r>
        <w:rPr>
          <w:spacing w:val="4"/>
        </w:rPr>
        <w:t> </w:t>
      </w:r>
      <w:r>
        <w:rPr/>
        <w:t>5,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7</w:t>
      </w:r>
      <w:r>
        <w:rPr>
          <w:spacing w:val="5"/>
        </w:rPr>
        <w:t> </w:t>
      </w:r>
      <w:r>
        <w:rPr/>
        <w:t>survive</w:t>
      </w:r>
      <w:r>
        <w:rPr>
          <w:spacing w:val="3"/>
        </w:rPr>
        <w:t> </w:t>
      </w:r>
      <w:r>
        <w:rPr/>
        <w:t>any</w:t>
      </w:r>
      <w:r>
        <w:rPr>
          <w:spacing w:val="5"/>
        </w:rPr>
        <w:t> </w:t>
      </w:r>
      <w:r>
        <w:rPr/>
        <w:t>expiration</w:t>
      </w:r>
      <w:r>
        <w:rPr>
          <w:spacing w:val="3"/>
        </w:rPr>
        <w:t> </w:t>
      </w:r>
      <w:r>
        <w:rPr/>
        <w:t>or</w:t>
      </w:r>
      <w:r>
        <w:rPr>
          <w:spacing w:val="3"/>
        </w:rPr>
        <w:t> </w:t>
      </w:r>
      <w:r>
        <w:rPr/>
        <w:t>termination</w:t>
      </w:r>
      <w:r>
        <w:rPr>
          <w:spacing w:val="4"/>
        </w:rPr>
        <w:t> </w:t>
      </w:r>
      <w:r>
        <w:rPr/>
        <w:t>of</w:t>
      </w:r>
      <w:r>
        <w:rPr>
          <w:spacing w:val="3"/>
        </w:rPr>
        <w:t> </w:t>
      </w:r>
      <w:r>
        <w:rPr/>
        <w:t>this</w:t>
      </w:r>
      <w:r>
        <w:rPr>
          <w:spacing w:val="4"/>
        </w:rPr>
        <w:t> </w:t>
      </w:r>
      <w:r>
        <w:rPr>
          <w:spacing w:val="-2"/>
        </w:rPr>
        <w:t>Agreement</w:t>
      </w:r>
      <w:bookmarkStart w:name="_bookmark4" w:id="5"/>
      <w:bookmarkEnd w:id="5"/>
      <w:r>
        <w:rPr>
          <w:spacing w:val="-2"/>
        </w:rPr>
        <w:t>.</w:t>
      </w:r>
      <w:hyperlink w:history="true" w:anchor="_bookmark5">
        <w:r>
          <w:rPr>
            <w:spacing w:val="-2"/>
            <w:vertAlign w:val="superscript"/>
          </w:rPr>
          <w:t>1</w:t>
        </w:r>
      </w:hyperlink>
    </w:p>
    <w:p>
      <w:pPr>
        <w:pStyle w:val="BodyText"/>
        <w:spacing w:before="76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0"/>
          <w:spacing w:val="-2"/>
        </w:rPr>
        <w:t>Confindentiality</w:t>
      </w:r>
    </w:p>
    <w:p>
      <w:pPr>
        <w:pStyle w:val="BodyText"/>
        <w:spacing w:before="183"/>
        <w:ind w:left="361" w:right="462"/>
      </w:pPr>
      <w:r>
        <w:rPr/>
        <w:t>Each party will protect the other party’s Confidential Information with at least the same degre</w:t>
      </w:r>
      <w:r>
        <w:rPr/>
        <w:t>e</w:t>
      </w:r>
      <w:r>
        <w:rPr>
          <w:spacing w:val="40"/>
        </w:rPr>
        <w:t> </w:t>
      </w:r>
      <w:r>
        <w:rPr/>
        <w:t>of care it uses for its own, and no less than reasonable care. A receiving party may disclos</w:t>
      </w:r>
      <w:r>
        <w:rPr/>
        <w:t>e</w:t>
      </w:r>
      <w:r>
        <w:rPr/>
        <w:t> Confidential Information to its employees and contractors who need to know it and who ar</w:t>
      </w:r>
      <w:r>
        <w:rPr/>
        <w:t>e</w:t>
      </w:r>
      <w:r>
        <w:rPr/>
        <w:t> bound by written obligations at least as protective as these. The obligations in this Section las</w:t>
      </w:r>
      <w:r>
        <w:rPr/>
        <w:t>t</w:t>
      </w:r>
      <w:r>
        <w:rPr>
          <w:spacing w:val="40"/>
        </w:rPr>
        <w:t> </w:t>
      </w:r>
      <w:r>
        <w:rPr/>
        <w:t>for five (5) years after termination, except for trade secrets, which remain protected for as l</w:t>
      </w:r>
      <w:r>
        <w:rPr/>
        <w:t>ong</w:t>
      </w:r>
      <w:r>
        <w:rPr>
          <w:spacing w:val="80"/>
        </w:rPr>
        <w:t> </w:t>
      </w:r>
      <w:r>
        <w:rPr/>
        <w:t>as they qualify as trade secrets under applicable law.</w:t>
      </w:r>
    </w:p>
    <w:p>
      <w:pPr>
        <w:pStyle w:val="BodyText"/>
        <w:spacing w:before="65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0"/>
        </w:rPr>
        <w:t>Limitation</w:t>
      </w:r>
      <w:r>
        <w:rPr>
          <w:color w:val="0E4660"/>
          <w:spacing w:val="-7"/>
        </w:rPr>
        <w:t> </w:t>
      </w:r>
      <w:r>
        <w:rPr>
          <w:color w:val="0E4660"/>
        </w:rPr>
        <w:t>of</w:t>
      </w:r>
      <w:r>
        <w:rPr>
          <w:color w:val="0E4660"/>
          <w:spacing w:val="-7"/>
        </w:rPr>
        <w:t> </w:t>
      </w:r>
      <w:r>
        <w:rPr>
          <w:color w:val="0E4660"/>
          <w:spacing w:val="-2"/>
        </w:rPr>
        <w:t>Liability</w:t>
      </w:r>
    </w:p>
    <w:p>
      <w:pPr>
        <w:pStyle w:val="BodyText"/>
        <w:spacing w:before="183"/>
        <w:ind w:left="361" w:right="864"/>
      </w:pPr>
      <w:r>
        <w:rPr>
          <w:spacing w:val="-10"/>
        </w:rPr>
        <w:t>EXCEPT</w:t>
      </w:r>
      <w:r>
        <w:rPr>
          <w:spacing w:val="-2"/>
        </w:rPr>
        <w:t> </w:t>
      </w:r>
      <w:r>
        <w:rPr>
          <w:spacing w:val="-10"/>
        </w:rPr>
        <w:t>FOR</w:t>
      </w:r>
      <w:r>
        <w:rPr>
          <w:spacing w:val="-1"/>
        </w:rPr>
        <w:t> </w:t>
      </w:r>
      <w:r>
        <w:rPr>
          <w:spacing w:val="-10"/>
        </w:rPr>
        <w:t>BREACHES</w:t>
      </w:r>
      <w:r>
        <w:rPr>
          <w:spacing w:val="-2"/>
        </w:rPr>
        <w:t> </w:t>
      </w:r>
      <w:r>
        <w:rPr>
          <w:spacing w:val="-10"/>
        </w:rPr>
        <w:t>OF</w:t>
      </w:r>
      <w:r>
        <w:rPr>
          <w:spacing w:val="-1"/>
        </w:rPr>
        <w:t> </w:t>
      </w:r>
      <w:r>
        <w:rPr>
          <w:spacing w:val="-10"/>
        </w:rPr>
        <w:t>SECTION</w:t>
      </w:r>
      <w:r>
        <w:rPr>
          <w:spacing w:val="-2"/>
        </w:rPr>
        <w:t> </w:t>
      </w:r>
      <w:r>
        <w:rPr>
          <w:spacing w:val="-10"/>
        </w:rPr>
        <w:t>4,</w:t>
      </w:r>
      <w:r>
        <w:rPr>
          <w:spacing w:val="-1"/>
        </w:rPr>
        <w:t> </w:t>
      </w:r>
      <w:r>
        <w:rPr>
          <w:spacing w:val="-10"/>
        </w:rPr>
        <w:t>NEITHER</w:t>
      </w:r>
      <w:r>
        <w:rPr>
          <w:spacing w:val="-1"/>
        </w:rPr>
        <w:t> </w:t>
      </w:r>
      <w:r>
        <w:rPr>
          <w:spacing w:val="-10"/>
        </w:rPr>
        <w:t>PARTY</w:t>
      </w:r>
      <w:r>
        <w:rPr>
          <w:spacing w:val="-2"/>
        </w:rPr>
        <w:t> </w:t>
      </w:r>
      <w:r>
        <w:rPr>
          <w:spacing w:val="-10"/>
        </w:rPr>
        <w:t>WILL</w:t>
      </w:r>
      <w:r>
        <w:rPr>
          <w:spacing w:val="-2"/>
        </w:rPr>
        <w:t> </w:t>
      </w:r>
      <w:r>
        <w:rPr>
          <w:spacing w:val="-10"/>
        </w:rPr>
        <w:t>BE</w:t>
      </w:r>
      <w:r>
        <w:rPr>
          <w:spacing w:val="-1"/>
        </w:rPr>
        <w:t> </w:t>
      </w:r>
      <w:r>
        <w:rPr>
          <w:spacing w:val="-10"/>
        </w:rPr>
        <w:t>LIABLE</w:t>
      </w:r>
      <w:r>
        <w:rPr>
          <w:spacing w:val="-1"/>
        </w:rPr>
        <w:t> </w:t>
      </w:r>
      <w:r>
        <w:rPr>
          <w:spacing w:val="-10"/>
        </w:rPr>
        <w:t>FOR</w:t>
      </w:r>
      <w:r>
        <w:rPr>
          <w:spacing w:val="-1"/>
        </w:rPr>
        <w:t> </w:t>
      </w:r>
      <w:r>
        <w:rPr>
          <w:spacing w:val="-10"/>
        </w:rPr>
        <w:t>AN</w:t>
      </w:r>
      <w:r>
        <w:rPr>
          <w:spacing w:val="-10"/>
        </w:rPr>
        <w:t>Y</w:t>
      </w:r>
      <w:r>
        <w:rPr>
          <w:spacing w:val="-10"/>
        </w:rPr>
        <w:t> </w:t>
      </w:r>
      <w:r>
        <w:rPr>
          <w:spacing w:val="-8"/>
        </w:rPr>
        <w:t>INDIRECT,</w:t>
      </w:r>
      <w:r>
        <w:rPr>
          <w:spacing w:val="-7"/>
        </w:rPr>
        <w:t> </w:t>
      </w:r>
      <w:r>
        <w:rPr>
          <w:spacing w:val="-8"/>
        </w:rPr>
        <w:t>INCIDENTAL,</w:t>
      </w:r>
      <w:r>
        <w:rPr>
          <w:spacing w:val="-7"/>
        </w:rPr>
        <w:t> </w:t>
      </w:r>
      <w:r>
        <w:rPr>
          <w:spacing w:val="-8"/>
        </w:rPr>
        <w:t>SPECIAL,</w:t>
      </w:r>
      <w:r>
        <w:rPr>
          <w:spacing w:val="-7"/>
        </w:rPr>
        <w:t> </w:t>
      </w:r>
      <w:r>
        <w:rPr>
          <w:spacing w:val="-8"/>
        </w:rPr>
        <w:t>OR</w:t>
      </w:r>
      <w:r>
        <w:rPr>
          <w:spacing w:val="-7"/>
        </w:rPr>
        <w:t> </w:t>
      </w:r>
      <w:r>
        <w:rPr>
          <w:spacing w:val="-8"/>
        </w:rPr>
        <w:t>CONSEQUENTIAL</w:t>
      </w:r>
      <w:r>
        <w:rPr>
          <w:spacing w:val="-7"/>
        </w:rPr>
        <w:t> </w:t>
      </w:r>
      <w:r>
        <w:rPr>
          <w:spacing w:val="-8"/>
        </w:rPr>
        <w:t>DAMAGES.</w:t>
      </w:r>
      <w:r>
        <w:rPr>
          <w:spacing w:val="-7"/>
        </w:rPr>
        <w:t> </w:t>
      </w:r>
      <w:r>
        <w:rPr>
          <w:spacing w:val="-8"/>
        </w:rPr>
        <w:t>EACH</w:t>
      </w:r>
      <w:r>
        <w:rPr>
          <w:spacing w:val="-7"/>
        </w:rPr>
        <w:t> </w:t>
      </w:r>
      <w:r>
        <w:rPr>
          <w:spacing w:val="-8"/>
        </w:rPr>
        <w:t>PART</w:t>
      </w:r>
      <w:r>
        <w:rPr>
          <w:spacing w:val="-8"/>
        </w:rPr>
        <w:t>Y’S</w:t>
      </w:r>
      <w:r>
        <w:rPr>
          <w:spacing w:val="-8"/>
        </w:rPr>
        <w:t> </w:t>
      </w:r>
      <w:r>
        <w:rPr>
          <w:w w:val="90"/>
        </w:rPr>
        <w:t>TOTAL</w:t>
      </w:r>
      <w:r>
        <w:rPr/>
        <w:t> </w:t>
      </w:r>
      <w:r>
        <w:rPr>
          <w:w w:val="90"/>
        </w:rPr>
        <w:t>LIABILITY</w:t>
      </w:r>
      <w:r>
        <w:rPr/>
        <w:t> </w:t>
      </w:r>
      <w:r>
        <w:rPr>
          <w:w w:val="90"/>
        </w:rPr>
        <w:t>UNDER</w:t>
      </w:r>
      <w:r>
        <w:rPr/>
        <w:t> </w:t>
      </w:r>
      <w:r>
        <w:rPr>
          <w:w w:val="90"/>
        </w:rPr>
        <w:t>THIS</w:t>
      </w:r>
      <w:r>
        <w:rPr/>
        <w:t> </w:t>
      </w:r>
      <w:r>
        <w:rPr>
          <w:w w:val="90"/>
        </w:rPr>
        <w:t>AGREEMENT</w:t>
      </w:r>
      <w:r>
        <w:rPr/>
        <w:t> </w:t>
      </w:r>
      <w:r>
        <w:rPr>
          <w:w w:val="90"/>
        </w:rPr>
        <w:t>WILL</w:t>
      </w:r>
      <w:r>
        <w:rPr/>
        <w:t> </w:t>
      </w:r>
      <w:r>
        <w:rPr>
          <w:w w:val="90"/>
        </w:rPr>
        <w:t>NOT</w:t>
      </w:r>
      <w:r>
        <w:rPr/>
        <w:t> </w:t>
      </w:r>
      <w:r>
        <w:rPr>
          <w:w w:val="90"/>
        </w:rPr>
        <w:t>EXCEED</w:t>
      </w:r>
      <w:r>
        <w:rPr/>
        <w:t> </w:t>
      </w:r>
      <w:r>
        <w:rPr>
          <w:w w:val="90"/>
        </w:rPr>
        <w:t>THE</w:t>
      </w:r>
      <w:r>
        <w:rPr/>
        <w:t> </w:t>
      </w:r>
      <w:r>
        <w:rPr>
          <w:w w:val="90"/>
        </w:rPr>
        <w:t>FEES</w:t>
      </w:r>
      <w:r>
        <w:rPr/>
        <w:t> </w:t>
      </w:r>
      <w:r>
        <w:rPr>
          <w:w w:val="90"/>
        </w:rPr>
        <w:t>PAID</w:t>
      </w:r>
      <w:r>
        <w:rPr/>
        <w:t> </w:t>
      </w:r>
      <w:r>
        <w:rPr>
          <w:w w:val="90"/>
        </w:rPr>
        <w:t>O</w:t>
      </w:r>
      <w:r>
        <w:rPr>
          <w:w w:val="90"/>
        </w:rPr>
        <w:t>R</w:t>
      </w:r>
      <w:r>
        <w:rPr>
          <w:spacing w:val="80"/>
        </w:rPr>
        <w:t> </w:t>
      </w:r>
      <w:r>
        <w:rPr>
          <w:spacing w:val="-6"/>
        </w:rPr>
        <w:t>PAYABLE</w:t>
      </w:r>
      <w:r>
        <w:rPr>
          <w:spacing w:val="-9"/>
        </w:rPr>
        <w:t> </w:t>
      </w:r>
      <w:r>
        <w:rPr>
          <w:spacing w:val="-6"/>
        </w:rPr>
        <w:t>IN</w:t>
      </w:r>
      <w:r>
        <w:rPr>
          <w:spacing w:val="-9"/>
        </w:rPr>
        <w:t> </w:t>
      </w: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TWELVE</w:t>
      </w:r>
      <w:r>
        <w:rPr>
          <w:spacing w:val="-9"/>
        </w:rPr>
        <w:t> </w:t>
      </w:r>
      <w:r>
        <w:rPr>
          <w:spacing w:val="-6"/>
        </w:rPr>
        <w:t>(12)</w:t>
      </w:r>
      <w:r>
        <w:rPr>
          <w:spacing w:val="-9"/>
        </w:rPr>
        <w:t> </w:t>
      </w:r>
      <w:r>
        <w:rPr>
          <w:spacing w:val="-6"/>
        </w:rPr>
        <w:t>MONTHS</w:t>
      </w:r>
      <w:r>
        <w:rPr>
          <w:spacing w:val="-8"/>
        </w:rPr>
        <w:t> </w:t>
      </w:r>
      <w:r>
        <w:rPr>
          <w:spacing w:val="-6"/>
        </w:rPr>
        <w:t>BEFORE</w:t>
      </w:r>
      <w:r>
        <w:rPr>
          <w:spacing w:val="-9"/>
        </w:rPr>
        <w:t> </w:t>
      </w: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CLAIM</w:t>
      </w:r>
      <w:r>
        <w:rPr>
          <w:spacing w:val="-9"/>
        </w:rPr>
        <w:t> </w:t>
      </w:r>
      <w:r>
        <w:rPr>
          <w:spacing w:val="-6"/>
        </w:rPr>
        <w:t>AROSE.</w:t>
      </w:r>
    </w:p>
    <w:p>
      <w:pPr>
        <w:pStyle w:val="BodyText"/>
        <w:spacing w:before="69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1" w:after="0"/>
        <w:ind w:left="1081" w:right="0" w:hanging="720"/>
        <w:jc w:val="left"/>
      </w:pPr>
      <w:r>
        <w:rPr>
          <w:color w:val="0E4660"/>
          <w:spacing w:val="-2"/>
        </w:rPr>
        <w:t>General</w:t>
      </w:r>
    </w:p>
    <w:p>
      <w:pPr>
        <w:pStyle w:val="BodyText"/>
        <w:spacing w:before="182"/>
        <w:ind w:left="361" w:right="534"/>
      </w:pPr>
      <w:r>
        <w:rPr/>
        <w:t>This Agreement is governed by the laws of the Commonwealth of Virginia, without regard t</w:t>
      </w:r>
      <w:r>
        <w:rPr/>
        <w:t>o</w:t>
      </w:r>
      <w:r>
        <w:rPr/>
        <w:t> its conflict of laws rules. This Agreement, together with each SOW, is the entire agreem</w:t>
      </w:r>
      <w:r>
        <w:rPr/>
        <w:t>ent</w:t>
      </w:r>
      <w:r>
        <w:rPr/>
        <w:t> between</w:t>
      </w:r>
      <w:r>
        <w:rPr>
          <w:spacing w:val="29"/>
        </w:rPr>
        <w:t> </w:t>
      </w:r>
      <w:r>
        <w:rPr/>
        <w:t>the</w:t>
      </w:r>
      <w:r>
        <w:rPr>
          <w:spacing w:val="31"/>
        </w:rPr>
        <w:t> </w:t>
      </w:r>
      <w:r>
        <w:rPr/>
        <w:t>parties</w:t>
      </w:r>
      <w:r>
        <w:rPr>
          <w:spacing w:val="29"/>
        </w:rPr>
        <w:t> </w:t>
      </w:r>
      <w:r>
        <w:rPr/>
        <w:t>on</w:t>
      </w:r>
      <w:r>
        <w:rPr>
          <w:spacing w:val="32"/>
        </w:rPr>
        <w:t> </w:t>
      </w:r>
      <w:r>
        <w:rPr/>
        <w:t>its</w:t>
      </w:r>
      <w:r>
        <w:rPr>
          <w:spacing w:val="31"/>
        </w:rPr>
        <w:t> </w:t>
      </w:r>
      <w:r>
        <w:rPr/>
        <w:t>subject</w:t>
      </w:r>
      <w:r>
        <w:rPr>
          <w:spacing w:val="31"/>
        </w:rPr>
        <w:t> </w:t>
      </w:r>
      <w:r>
        <w:rPr/>
        <w:t>and</w:t>
      </w:r>
      <w:r>
        <w:rPr>
          <w:spacing w:val="31"/>
        </w:rPr>
        <w:t> </w:t>
      </w:r>
      <w:r>
        <w:rPr/>
        <w:t>supersedes</w:t>
      </w:r>
      <w:r>
        <w:rPr>
          <w:spacing w:val="31"/>
        </w:rPr>
        <w:t> </w:t>
      </w:r>
      <w:r>
        <w:rPr/>
        <w:t>all</w:t>
      </w:r>
      <w:r>
        <w:rPr>
          <w:spacing w:val="31"/>
        </w:rPr>
        <w:t> </w:t>
      </w:r>
      <w:r>
        <w:rPr/>
        <w:t>prior</w:t>
      </w:r>
      <w:r>
        <w:rPr>
          <w:spacing w:val="31"/>
        </w:rPr>
        <w:t> </w:t>
      </w:r>
      <w:r>
        <w:rPr/>
        <w:t>proposals</w:t>
      </w:r>
      <w:r>
        <w:rPr>
          <w:spacing w:val="29"/>
        </w:rPr>
        <w:t> </w:t>
      </w:r>
      <w:r>
        <w:rPr/>
        <w:t>and</w:t>
      </w:r>
      <w:r>
        <w:rPr>
          <w:spacing w:val="29"/>
        </w:rPr>
        <w:t> </w:t>
      </w:r>
      <w:r>
        <w:rPr/>
        <w:t>understandings.</w:t>
      </w:r>
    </w:p>
    <w:p>
      <w:pPr>
        <w:pStyle w:val="BodyText"/>
        <w:spacing w:before="174"/>
        <w:ind w:left="361"/>
      </w:pPr>
      <w:r>
        <w:rPr/>
        <w:t>IN</w:t>
      </w:r>
      <w:r>
        <w:rPr>
          <w:spacing w:val="-7"/>
        </w:rPr>
        <w:t> </w:t>
      </w:r>
      <w:r>
        <w:rPr/>
        <w:t>WITNESS</w:t>
      </w:r>
      <w:r>
        <w:rPr>
          <w:spacing w:val="-7"/>
        </w:rPr>
        <w:t> </w:t>
      </w:r>
      <w:r>
        <w:rPr/>
        <w:t>WHEREOF,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parties</w:t>
      </w:r>
      <w:r>
        <w:rPr>
          <w:spacing w:val="-8"/>
        </w:rPr>
        <w:t> </w:t>
      </w:r>
      <w:r>
        <w:rPr/>
        <w:t>have</w:t>
      </w:r>
      <w:r>
        <w:rPr>
          <w:spacing w:val="-7"/>
        </w:rPr>
        <w:t> </w:t>
      </w:r>
      <w:r>
        <w:rPr/>
        <w:t>executed</w:t>
      </w:r>
      <w:r>
        <w:rPr>
          <w:spacing w:val="-7"/>
        </w:rPr>
        <w:t> </w:t>
      </w:r>
      <w:r>
        <w:rPr/>
        <w:t>this</w:t>
      </w:r>
      <w:r>
        <w:rPr>
          <w:spacing w:val="-7"/>
        </w:rPr>
        <w:t> </w:t>
      </w:r>
      <w:r>
        <w:rPr/>
        <w:t>Agreement</w:t>
      </w:r>
      <w:r>
        <w:rPr>
          <w:spacing w:val="-7"/>
        </w:rPr>
        <w:t> </w:t>
      </w:r>
      <w:r>
        <w:rPr/>
        <w:t>as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Effective</w:t>
      </w:r>
      <w:r>
        <w:rPr>
          <w:spacing w:val="-8"/>
        </w:rPr>
        <w:t> </w:t>
      </w:r>
      <w:r>
        <w:rPr>
          <w:spacing w:val="-2"/>
        </w:rPr>
        <w:t>Date.</w:t>
      </w:r>
    </w:p>
    <w:p>
      <w:pPr>
        <w:pStyle w:val="Heading3"/>
        <w:tabs>
          <w:tab w:pos="5149" w:val="left" w:leader="none"/>
        </w:tabs>
      </w:pPr>
      <w:r>
        <w:rPr>
          <w:w w:val="90"/>
        </w:rPr>
        <w:t>HALVORSEN</w:t>
      </w:r>
      <w:r>
        <w:rPr>
          <w:spacing w:val="-2"/>
        </w:rPr>
        <w:t> </w:t>
      </w:r>
      <w:r>
        <w:rPr>
          <w:w w:val="90"/>
        </w:rPr>
        <w:t>MARINE</w:t>
      </w:r>
      <w:r>
        <w:rPr>
          <w:spacing w:val="-2"/>
        </w:rPr>
        <w:t> </w:t>
      </w:r>
      <w:r>
        <w:rPr>
          <w:w w:val="90"/>
        </w:rPr>
        <w:t>LOGISTICS,</w:t>
      </w:r>
      <w:r>
        <w:rPr>
          <w:spacing w:val="-2"/>
        </w:rPr>
        <w:t> </w:t>
      </w:r>
      <w:r>
        <w:rPr>
          <w:spacing w:val="-4"/>
          <w:w w:val="90"/>
        </w:rPr>
        <w:t>INC.</w:t>
      </w:r>
      <w:r>
        <w:rPr/>
        <w:tab/>
      </w:r>
      <w:r>
        <w:rPr>
          <w:w w:val="90"/>
        </w:rPr>
        <w:t>BRIGHTWATER</w:t>
      </w:r>
      <w:r>
        <w:rPr>
          <w:spacing w:val="25"/>
        </w:rPr>
        <w:t> </w:t>
      </w:r>
      <w:r>
        <w:rPr>
          <w:w w:val="90"/>
        </w:rPr>
        <w:t>ANALYTICS</w:t>
      </w:r>
      <w:r>
        <w:rPr>
          <w:spacing w:val="25"/>
        </w:rPr>
        <w:t> </w:t>
      </w:r>
      <w:r>
        <w:rPr>
          <w:spacing w:val="-5"/>
          <w:w w:val="90"/>
        </w:rPr>
        <w:t>LLC</w:t>
      </w:r>
    </w:p>
    <w:p>
      <w:pPr>
        <w:pStyle w:val="BodyText"/>
        <w:tabs>
          <w:tab w:pos="4167" w:val="left" w:leader="none"/>
          <w:tab w:pos="5149" w:val="left" w:leader="none"/>
          <w:tab w:pos="8847" w:val="left" w:leader="none"/>
        </w:tabs>
        <w:spacing w:before="208"/>
        <w:ind w:left="470"/>
      </w:pPr>
      <w:r>
        <w:rPr/>
        <w:t>By: </w:t>
      </w:r>
      <w:r>
        <w:rPr>
          <w:u w:val="single"/>
        </w:rPr>
        <w:tab/>
      </w:r>
      <w:r>
        <w:rPr/>
        <w:tab/>
        <w:t>By: </w:t>
      </w:r>
      <w:r>
        <w:rPr>
          <w:u w:val="single"/>
        </w:rPr>
        <w:tab/>
      </w:r>
    </w:p>
    <w:p>
      <w:pPr>
        <w:pStyle w:val="BodyText"/>
        <w:tabs>
          <w:tab w:pos="5149" w:val="left" w:leader="none"/>
        </w:tabs>
        <w:spacing w:before="198"/>
        <w:ind w:left="470"/>
      </w:pPr>
      <w:r>
        <w:rPr/>
        <w:t>Ingrid</w:t>
      </w:r>
      <w:r>
        <w:rPr>
          <w:spacing w:val="-7"/>
        </w:rPr>
        <w:t> </w:t>
      </w:r>
      <w:r>
        <w:rPr/>
        <w:t>Halvorsen,</w:t>
      </w:r>
      <w:r>
        <w:rPr>
          <w:spacing w:val="-6"/>
        </w:rPr>
        <w:t> </w:t>
      </w:r>
      <w:r>
        <w:rPr/>
        <w:t>Chief</w:t>
      </w:r>
      <w:r>
        <w:rPr>
          <w:spacing w:val="-5"/>
        </w:rPr>
        <w:t> </w:t>
      </w:r>
      <w:r>
        <w:rPr/>
        <w:t>Executive</w:t>
      </w:r>
      <w:r>
        <w:rPr>
          <w:spacing w:val="-7"/>
        </w:rPr>
        <w:t> </w:t>
      </w:r>
      <w:r>
        <w:rPr>
          <w:spacing w:val="-2"/>
        </w:rPr>
        <w:t>Officer</w:t>
      </w:r>
      <w:r>
        <w:rPr/>
        <w:tab/>
        <w:t>Tomas</w:t>
      </w:r>
      <w:r>
        <w:rPr>
          <w:spacing w:val="-15"/>
        </w:rPr>
        <w:t> </w:t>
      </w:r>
      <w:r>
        <w:rPr/>
        <w:t>Okafor-Reyes,</w:t>
      </w:r>
      <w:r>
        <w:rPr>
          <w:spacing w:val="-15"/>
        </w:rPr>
        <w:t> </w:t>
      </w:r>
      <w:r>
        <w:rPr/>
        <w:t>Managing</w:t>
      </w:r>
      <w:r>
        <w:rPr>
          <w:spacing w:val="-15"/>
        </w:rPr>
        <w:t> </w:t>
      </w:r>
      <w:r>
        <w:rPr>
          <w:spacing w:val="-2"/>
        </w:rPr>
        <w:t>Member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913764</wp:posOffset>
                </wp:positionH>
                <wp:positionV relativeFrom="paragraph">
                  <wp:posOffset>266784</wp:posOffset>
                </wp:positionV>
                <wp:extent cx="1830070" cy="762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830070" cy="7620"/>
                          <a:chExt cx="1830070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0" y="6349"/>
                                </a:move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49997pt;margin-top:21.006641pt;width:144.1pt;height:.6pt;mso-position-horizontal-relative:page;mso-position-vertical-relative:paragraph;z-index:-15728128;mso-wrap-distance-left:0;mso-wrap-distance-right:0" id="docshapegroup6" coordorigin="1439,420" coordsize="2882,12">
                <v:rect style="position:absolute;left:1440;top:421;width:2880;height:10" id="docshape7" filled="true" fillcolor="#000000" stroked="false">
                  <v:fill type="solid"/>
                </v:rect>
                <v:rect style="position:absolute;left:1440;top:421;width:2880;height:10" id="docshape8" filled="false" stroked="true" strokeweight=".1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0"/>
        <w:ind w:left="361" w:right="462"/>
      </w:pPr>
      <w:bookmarkStart w:name="_bookmark5" w:id="6"/>
      <w:bookmarkEnd w:id="6"/>
      <w:r>
        <w:rPr/>
      </w:r>
      <w:hyperlink w:history="true" w:anchor="_bookmark4">
        <w:r>
          <w:rPr>
            <w:vertAlign w:val="superscript"/>
          </w:rPr>
          <w:t>1</w:t>
        </w:r>
      </w:hyperlink>
      <w:r>
        <w:rPr>
          <w:vertAlign w:val="baseline"/>
        </w:rPr>
        <w:t> For clarity, Section 4 (Confidentiality) survives for the period stated in that Section, a</w:t>
      </w:r>
      <w:r>
        <w:rPr>
          <w:vertAlign w:val="baseline"/>
        </w:rPr>
        <w:t>nd</w:t>
      </w:r>
      <w:r>
        <w:rPr>
          <w:vertAlign w:val="baseline"/>
        </w:rPr>
        <w:t> payment obligations accrued before termination survive until paid.</w:t>
      </w:r>
    </w:p>
    <w:p>
      <w:pPr>
        <w:pStyle w:val="BodyText"/>
        <w:spacing w:after="0"/>
        <w:sectPr>
          <w:pgSz w:w="12240" w:h="15840"/>
          <w:pgMar w:header="720" w:footer="994" w:top="1340" w:bottom="1180" w:left="1080" w:right="1080"/>
        </w:sectPr>
      </w:pPr>
    </w:p>
    <w:p>
      <w:pPr>
        <w:pStyle w:val="Heading1"/>
        <w:spacing w:before="434"/>
        <w:ind w:left="361" w:firstLine="0"/>
      </w:pPr>
      <w:r>
        <w:rPr>
          <w:color w:val="0E4660"/>
        </w:rPr>
        <w:t>Q3</w:t>
      </w:r>
      <w:r>
        <w:rPr>
          <w:color w:val="0E4660"/>
          <w:spacing w:val="-12"/>
        </w:rPr>
        <w:t> </w:t>
      </w:r>
      <w:r>
        <w:rPr>
          <w:color w:val="0E4660"/>
        </w:rPr>
        <w:t>2026</w:t>
      </w:r>
      <w:r>
        <w:rPr>
          <w:color w:val="0E4660"/>
          <w:spacing w:val="-12"/>
        </w:rPr>
        <w:t> </w:t>
      </w:r>
      <w:r>
        <w:rPr>
          <w:color w:val="0E4660"/>
        </w:rPr>
        <w:t>Port</w:t>
      </w:r>
      <w:r>
        <w:rPr>
          <w:color w:val="0E4660"/>
          <w:spacing w:val="-8"/>
        </w:rPr>
        <w:t> </w:t>
      </w:r>
      <w:r>
        <w:rPr>
          <w:color w:val="0E4660"/>
        </w:rPr>
        <w:t>Throughput</w:t>
      </w:r>
      <w:r>
        <w:rPr>
          <w:color w:val="0E4660"/>
          <w:spacing w:val="-12"/>
        </w:rPr>
        <w:t> </w:t>
      </w:r>
      <w:r>
        <w:rPr>
          <w:color w:val="0E4660"/>
          <w:spacing w:val="-2"/>
        </w:rPr>
        <w:t>Review</w:t>
      </w:r>
    </w:p>
    <w:p>
      <w:pPr>
        <w:pStyle w:val="BodyText"/>
        <w:spacing w:before="182"/>
        <w:ind w:left="361" w:right="462"/>
      </w:pPr>
      <w:r>
        <w:rPr/>
        <w:t>Container volumes at the six monitored East Coast ports rose 6.8% from the second quarter, le</w:t>
      </w:r>
      <w:r>
        <w:rPr/>
        <w:t>d</w:t>
      </w:r>
      <w:r>
        <w:rPr/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Savannah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Norfolk.</w:t>
      </w:r>
      <w:r>
        <w:rPr>
          <w:spacing w:val="-14"/>
          <w:w w:val="105"/>
        </w:rPr>
        <w:t> </w:t>
      </w:r>
      <w:r>
        <w:rPr>
          <w:w w:val="105"/>
        </w:rPr>
        <w:t>Average</w:t>
      </w:r>
      <w:r>
        <w:rPr>
          <w:spacing w:val="-14"/>
          <w:w w:val="105"/>
        </w:rPr>
        <w:t> </w:t>
      </w:r>
      <w:r>
        <w:rPr>
          <w:w w:val="105"/>
        </w:rPr>
        <w:t>berth</w:t>
      </w:r>
      <w:r>
        <w:rPr>
          <w:spacing w:val="-14"/>
          <w:w w:val="105"/>
        </w:rPr>
        <w:t> </w:t>
      </w:r>
      <w:r>
        <w:rPr>
          <w:w w:val="105"/>
        </w:rPr>
        <w:t>wait</w:t>
      </w:r>
      <w:r>
        <w:rPr>
          <w:spacing w:val="-13"/>
          <w:w w:val="105"/>
        </w:rPr>
        <w:t> </w:t>
      </w:r>
      <w:r>
        <w:rPr>
          <w:w w:val="105"/>
        </w:rPr>
        <w:t>time</w:t>
      </w:r>
      <w:r>
        <w:rPr>
          <w:spacing w:val="-14"/>
          <w:w w:val="105"/>
        </w:rPr>
        <w:t> </w:t>
      </w:r>
      <w:r>
        <w:rPr>
          <w:w w:val="105"/>
        </w:rPr>
        <w:t>fell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19.4</w:t>
      </w:r>
      <w:r>
        <w:rPr>
          <w:spacing w:val="-13"/>
          <w:w w:val="105"/>
        </w:rPr>
        <w:t> </w:t>
      </w:r>
      <w:r>
        <w:rPr>
          <w:w w:val="105"/>
        </w:rPr>
        <w:t>hours,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lowest</w:t>
      </w:r>
      <w:r>
        <w:rPr>
          <w:spacing w:val="-13"/>
          <w:w w:val="105"/>
        </w:rPr>
        <w:t> </w:t>
      </w:r>
      <w:r>
        <w:rPr>
          <w:w w:val="105"/>
        </w:rPr>
        <w:t>since</w:t>
      </w:r>
      <w:r>
        <w:rPr>
          <w:spacing w:val="-14"/>
          <w:w w:val="105"/>
        </w:rPr>
        <w:t> </w:t>
      </w:r>
      <w:r>
        <w:rPr>
          <w:w w:val="105"/>
        </w:rPr>
        <w:t>t</w:t>
      </w:r>
      <w:r>
        <w:rPr>
          <w:w w:val="105"/>
        </w:rPr>
        <w:t>he</w:t>
      </w:r>
      <w:r>
        <w:rPr>
          <w:w w:val="105"/>
        </w:rPr>
        <w:t> fourth quarter of 2023.</w:t>
      </w:r>
    </w:p>
    <w:p>
      <w:pPr>
        <w:pStyle w:val="BodyText"/>
        <w:spacing w:before="5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1108325</wp:posOffset>
            </wp:positionH>
            <wp:positionV relativeFrom="paragraph">
              <wp:posOffset>195063</wp:posOffset>
            </wp:positionV>
            <wp:extent cx="4377805" cy="1917192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7805" cy="191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4"/>
      </w:pPr>
    </w:p>
    <w:p>
      <w:pPr>
        <w:spacing w:before="0"/>
        <w:ind w:left="361" w:right="0" w:firstLine="0"/>
        <w:jc w:val="left"/>
        <w:rPr>
          <w:i/>
          <w:sz w:val="24"/>
        </w:rPr>
      </w:pPr>
      <w:r>
        <w:rPr>
          <w:i/>
          <w:spacing w:val="-4"/>
          <w:sz w:val="24"/>
        </w:rPr>
        <w:t>Figure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1.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Container</w:t>
      </w:r>
      <w:r>
        <w:rPr>
          <w:i/>
          <w:spacing w:val="-9"/>
          <w:sz w:val="24"/>
        </w:rPr>
        <w:t> </w:t>
      </w:r>
      <w:r>
        <w:rPr>
          <w:i/>
          <w:spacing w:val="-4"/>
          <w:sz w:val="24"/>
        </w:rPr>
        <w:t>volume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by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port,</w:t>
      </w:r>
      <w:r>
        <w:rPr>
          <w:i/>
          <w:spacing w:val="-9"/>
          <w:sz w:val="24"/>
        </w:rPr>
        <w:t> </w:t>
      </w:r>
      <w:r>
        <w:rPr>
          <w:i/>
          <w:spacing w:val="-4"/>
          <w:sz w:val="24"/>
        </w:rPr>
        <w:t>Q2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and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Q3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2026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(thousand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TEU)</w:t>
      </w:r>
    </w:p>
    <w:p>
      <w:pPr>
        <w:spacing w:after="0"/>
        <w:jc w:val="left"/>
        <w:rPr>
          <w:i/>
          <w:sz w:val="24"/>
        </w:rPr>
        <w:sectPr>
          <w:headerReference w:type="default" r:id="rId7"/>
          <w:footerReference w:type="default" r:id="rId8"/>
          <w:pgSz w:w="12240" w:h="15840"/>
          <w:pgMar w:header="720" w:footer="994" w:top="1340" w:bottom="1180" w:left="1080" w:right="1080"/>
        </w:sectPr>
      </w:pPr>
    </w:p>
    <w:p>
      <w:pPr>
        <w:pStyle w:val="Heading2"/>
        <w:spacing w:before="154"/>
      </w:pPr>
      <w:r>
        <w:rPr>
          <w:color w:val="0E4660"/>
          <w:spacing w:val="-2"/>
        </w:rPr>
        <w:t>Highlights</w:t>
      </w:r>
    </w:p>
    <w:p>
      <w:pPr>
        <w:pStyle w:val="BodyText"/>
        <w:spacing w:before="181"/>
        <w:ind w:left="361"/>
      </w:pPr>
      <w:r>
        <w:rPr/>
        <w:t>Savannah handled 1,412 thousand TEU, u</w:t>
      </w:r>
      <w:r>
        <w:rPr/>
        <w:t>p</w:t>
      </w:r>
      <w:r>
        <w:rPr/>
        <w:t> 9.1% on the quarter, after its fourth bert</w:t>
      </w:r>
      <w:r>
        <w:rPr/>
        <w:t>h</w:t>
      </w:r>
      <w:r>
        <w:rPr/>
        <w:t> reopened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July.</w:t>
      </w:r>
      <w:r>
        <w:rPr>
          <w:spacing w:val="-10"/>
        </w:rPr>
        <w:t> </w:t>
      </w:r>
      <w:r>
        <w:rPr/>
        <w:t>Norfolk</w:t>
      </w:r>
      <w:r>
        <w:rPr>
          <w:spacing w:val="-10"/>
        </w:rPr>
        <w:t> </w:t>
      </w:r>
      <w:r>
        <w:rPr/>
        <w:t>grew</w:t>
      </w:r>
      <w:r>
        <w:rPr>
          <w:spacing w:val="-10"/>
        </w:rPr>
        <w:t> </w:t>
      </w:r>
      <w:r>
        <w:rPr/>
        <w:t>7.6%</w:t>
      </w:r>
      <w:r>
        <w:rPr>
          <w:spacing w:val="-10"/>
        </w:rPr>
        <w:t> </w:t>
      </w:r>
      <w:r>
        <w:rPr/>
        <w:t>on</w:t>
      </w:r>
      <w:r>
        <w:rPr>
          <w:spacing w:val="-10"/>
        </w:rPr>
        <w:t> </w:t>
      </w:r>
      <w:r>
        <w:rPr/>
        <w:t>ne</w:t>
      </w:r>
      <w:r>
        <w:rPr/>
        <w:t>w</w:t>
      </w:r>
      <w:r>
        <w:rPr/>
        <w:t> transatlantic services. New York and Ne</w:t>
      </w:r>
      <w:r>
        <w:rPr/>
        <w:t>w</w:t>
      </w:r>
      <w:r>
        <w:rPr/>
        <w:t> Jersey remained the largest port by volume</w:t>
      </w:r>
      <w:r>
        <w:rPr/>
        <w:t>,</w:t>
      </w:r>
      <w:r>
        <w:rPr/>
        <w:t> though its growth slowed to 3.2% as tw</w:t>
      </w:r>
      <w:r>
        <w:rPr/>
        <w:t>o</w:t>
      </w:r>
      <w:r>
        <w:rPr/>
        <w:t> terminals ran reduced hours during cra</w:t>
      </w:r>
      <w:r>
        <w:rPr/>
        <w:t>ne</w:t>
      </w:r>
      <w:r>
        <w:rPr/>
        <w:t> </w:t>
      </w:r>
      <w:r>
        <w:rPr>
          <w:spacing w:val="-2"/>
        </w:rPr>
        <w:t>replacement.</w:t>
      </w:r>
    </w:p>
    <w:p>
      <w:pPr>
        <w:pStyle w:val="BodyText"/>
        <w:spacing w:before="164"/>
        <w:ind w:left="361" w:right="38"/>
      </w:pPr>
      <w:r>
        <w:rPr/>
        <w:t>Charleston and Baltimore recovered fr</w:t>
      </w:r>
      <w:r>
        <w:rPr/>
        <w:t>om</w:t>
      </w:r>
      <w:r>
        <w:rPr/>
        <w:t> second-quarter disruptions. Charleston’</w:t>
      </w:r>
      <w:r>
        <w:rPr/>
        <w:t>s</w:t>
      </w:r>
      <w:r>
        <w:rPr/>
        <w:t> volume</w:t>
      </w:r>
      <w:r>
        <w:rPr>
          <w:spacing w:val="-6"/>
        </w:rPr>
        <w:t> </w:t>
      </w:r>
      <w:r>
        <w:rPr/>
        <w:t>rose</w:t>
      </w:r>
      <w:r>
        <w:rPr>
          <w:spacing w:val="-6"/>
        </w:rPr>
        <w:t> </w:t>
      </w:r>
      <w:r>
        <w:rPr/>
        <w:t>8.4%,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Baltimore</w:t>
      </w:r>
      <w:r>
        <w:rPr>
          <w:spacing w:val="-6"/>
        </w:rPr>
        <w:t> </w:t>
      </w:r>
      <w:r>
        <w:rPr/>
        <w:t>returned</w:t>
      </w:r>
      <w:r>
        <w:rPr>
          <w:spacing w:val="-5"/>
        </w:rPr>
        <w:t> </w:t>
      </w:r>
      <w:r>
        <w:rPr/>
        <w:t>t</w:t>
      </w:r>
      <w:r>
        <w:rPr/>
        <w:t>o</w:t>
      </w:r>
      <w:r>
        <w:rPr/>
        <w:t> its 2025 average after the channel restrict</w:t>
      </w:r>
      <w:r>
        <w:rPr/>
        <w:t>ion</w:t>
      </w:r>
      <w:r>
        <w:rPr/>
        <w:t> was lifted on June 2.</w:t>
      </w:r>
    </w:p>
    <w:p>
      <w:pPr>
        <w:pStyle w:val="Heading2"/>
        <w:spacing w:before="167"/>
      </w:pPr>
      <w:r>
        <w:rPr>
          <w:color w:val="0E4660"/>
        </w:rPr>
        <w:t>Risks</w:t>
      </w:r>
      <w:r>
        <w:rPr>
          <w:color w:val="0E4660"/>
          <w:spacing w:val="-14"/>
        </w:rPr>
        <w:t> </w:t>
      </w:r>
      <w:r>
        <w:rPr>
          <w:color w:val="0E4660"/>
        </w:rPr>
        <w:t>for</w:t>
      </w:r>
      <w:r>
        <w:rPr>
          <w:color w:val="0E4660"/>
          <w:spacing w:val="-15"/>
        </w:rPr>
        <w:t> </w:t>
      </w:r>
      <w:r>
        <w:rPr>
          <w:color w:val="0E4660"/>
          <w:spacing w:val="-5"/>
        </w:rPr>
        <w:t>Q4</w:t>
      </w:r>
    </w:p>
    <w:p>
      <w:pPr>
        <w:pStyle w:val="ListParagraph"/>
        <w:numPr>
          <w:ilvl w:val="0"/>
          <w:numId w:val="2"/>
        </w:numPr>
        <w:tabs>
          <w:tab w:pos="1081" w:val="left" w:leader="none"/>
        </w:tabs>
        <w:spacing w:line="252" w:lineRule="auto" w:before="79" w:after="0"/>
        <w:ind w:left="1081" w:right="41" w:hanging="360"/>
        <w:jc w:val="both"/>
        <w:rPr>
          <w:sz w:val="24"/>
        </w:rPr>
      </w:pPr>
      <w:r>
        <w:rPr>
          <w:sz w:val="24"/>
        </w:rPr>
        <w:t>Labor contract talks at two terminal</w:t>
      </w:r>
      <w:r>
        <w:rPr>
          <w:sz w:val="24"/>
        </w:rPr>
        <w:t>s</w:t>
      </w:r>
      <w:r>
        <w:rPr>
          <w:sz w:val="24"/>
        </w:rPr>
        <w:t> in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York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Jersey</w:t>
      </w:r>
      <w:r>
        <w:rPr>
          <w:spacing w:val="-1"/>
          <w:sz w:val="24"/>
        </w:rPr>
        <w:t> </w:t>
      </w:r>
      <w:r>
        <w:rPr>
          <w:sz w:val="24"/>
        </w:rPr>
        <w:t>resum</w:t>
      </w:r>
      <w:r>
        <w:rPr>
          <w:sz w:val="24"/>
        </w:rPr>
        <w:t>e</w:t>
      </w:r>
      <w:r>
        <w:rPr>
          <w:sz w:val="24"/>
        </w:rPr>
        <w:t> on November 3.</w:t>
      </w:r>
    </w:p>
    <w:p>
      <w:pPr>
        <w:pStyle w:val="ListParagraph"/>
        <w:numPr>
          <w:ilvl w:val="0"/>
          <w:numId w:val="2"/>
        </w:numPr>
        <w:tabs>
          <w:tab w:pos="1081" w:val="left" w:leader="none"/>
        </w:tabs>
        <w:spacing w:line="252" w:lineRule="auto" w:before="17" w:after="0"/>
        <w:ind w:left="1081" w:right="340" w:hanging="360"/>
        <w:jc w:val="left"/>
        <w:rPr>
          <w:sz w:val="24"/>
        </w:rPr>
      </w:pPr>
      <w:r>
        <w:rPr>
          <w:sz w:val="24"/>
        </w:rPr>
        <w:t>Hurricane season closures cost a</w:t>
      </w:r>
      <w:r>
        <w:rPr>
          <w:sz w:val="24"/>
        </w:rPr>
        <w:t>n</w:t>
      </w:r>
      <w:r>
        <w:rPr>
          <w:sz w:val="24"/>
        </w:rPr>
        <w:t> </w:t>
      </w:r>
      <w:r>
        <w:rPr>
          <w:w w:val="105"/>
          <w:sz w:val="24"/>
        </w:rPr>
        <w:t>average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2.6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operating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days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p</w:t>
      </w:r>
      <w:r>
        <w:rPr>
          <w:w w:val="105"/>
          <w:sz w:val="24"/>
        </w:rPr>
        <w:t>er</w:t>
      </w:r>
      <w:r>
        <w:rPr>
          <w:w w:val="105"/>
          <w:sz w:val="24"/>
        </w:rPr>
        <w:t> port in 2025.</w:t>
      </w:r>
    </w:p>
    <w:p>
      <w:pPr>
        <w:pStyle w:val="ListParagraph"/>
        <w:numPr>
          <w:ilvl w:val="0"/>
          <w:numId w:val="2"/>
        </w:numPr>
        <w:tabs>
          <w:tab w:pos="1082" w:val="left" w:leader="none"/>
        </w:tabs>
        <w:spacing w:line="247" w:lineRule="auto" w:before="157" w:after="0"/>
        <w:ind w:left="1082" w:right="939" w:hanging="360"/>
        <w:jc w:val="left"/>
        <w:rPr>
          <w:sz w:val="24"/>
        </w:rPr>
      </w:pPr>
      <w:r>
        <w:rPr/>
        <w:br w:type="column"/>
      </w:r>
      <w:r>
        <w:rPr>
          <w:sz w:val="24"/>
        </w:rPr>
        <w:t>Chassis shortages persist </w:t>
      </w:r>
      <w:r>
        <w:rPr>
          <w:sz w:val="24"/>
        </w:rPr>
        <w:t>in</w:t>
      </w:r>
      <w:r>
        <w:rPr>
          <w:sz w:val="24"/>
        </w:rPr>
        <w:t> Savannah, where dwell time f</w:t>
      </w:r>
      <w:r>
        <w:rPr>
          <w:sz w:val="24"/>
        </w:rPr>
        <w:t>or</w:t>
      </w:r>
      <w:r>
        <w:rPr>
          <w:sz w:val="24"/>
        </w:rPr>
        <w:t> imports reached 5.9 days </w:t>
      </w:r>
      <w:r>
        <w:rPr>
          <w:sz w:val="24"/>
        </w:rPr>
        <w:t>in</w:t>
      </w:r>
      <w:r>
        <w:rPr>
          <w:sz w:val="24"/>
        </w:rPr>
        <w:t> </w:t>
      </w:r>
      <w:r>
        <w:rPr>
          <w:spacing w:val="-2"/>
          <w:sz w:val="24"/>
        </w:rPr>
        <w:t>September.</w:t>
      </w:r>
    </w:p>
    <w:p>
      <w:pPr>
        <w:pStyle w:val="Heading2"/>
        <w:ind w:left="362"/>
      </w:pPr>
      <w:r>
        <w:rPr>
          <w:color w:val="0E4660"/>
          <w:spacing w:val="-2"/>
        </w:rPr>
        <w:t>Outlook</w:t>
      </w:r>
    </w:p>
    <w:p>
      <w:pPr>
        <w:pStyle w:val="BodyText"/>
        <w:spacing w:before="181"/>
        <w:ind w:left="362" w:right="195"/>
      </w:pPr>
      <w:r>
        <w:rPr>
          <w:w w:val="105"/>
        </w:rPr>
        <w:t>We expect fourth-quarter volumes to ris</w:t>
      </w:r>
      <w:r>
        <w:rPr>
          <w:w w:val="105"/>
        </w:rPr>
        <w:t>e</w:t>
      </w:r>
      <w:r>
        <w:rPr>
          <w:w w:val="105"/>
        </w:rPr>
        <w:t> between</w:t>
      </w:r>
      <w:r>
        <w:rPr>
          <w:spacing w:val="-9"/>
          <w:w w:val="105"/>
        </w:rPr>
        <w:t> </w:t>
      </w:r>
      <w:r>
        <w:rPr>
          <w:w w:val="105"/>
        </w:rPr>
        <w:t>2%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4%,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stronges</w:t>
      </w:r>
      <w:r>
        <w:rPr>
          <w:w w:val="105"/>
        </w:rPr>
        <w:t>t</w:t>
      </w:r>
      <w:r>
        <w:rPr>
          <w:w w:val="105"/>
        </w:rPr>
        <w:t> growth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Norfolk.</w:t>
      </w:r>
      <w:r>
        <w:rPr>
          <w:spacing w:val="-13"/>
          <w:w w:val="105"/>
        </w:rPr>
        <w:t> </w:t>
      </w:r>
      <w:r>
        <w:rPr>
          <w:w w:val="105"/>
        </w:rPr>
        <w:t>Wait</w:t>
      </w:r>
      <w:r>
        <w:rPr>
          <w:spacing w:val="-13"/>
          <w:w w:val="105"/>
        </w:rPr>
        <w:t> </w:t>
      </w:r>
      <w:r>
        <w:rPr>
          <w:w w:val="105"/>
        </w:rPr>
        <w:t>times</w:t>
      </w:r>
      <w:r>
        <w:rPr>
          <w:spacing w:val="-13"/>
          <w:w w:val="105"/>
        </w:rPr>
        <w:t> </w:t>
      </w:r>
      <w:r>
        <w:rPr>
          <w:w w:val="105"/>
        </w:rPr>
        <w:t>should</w:t>
      </w:r>
      <w:r>
        <w:rPr>
          <w:spacing w:val="-13"/>
          <w:w w:val="105"/>
        </w:rPr>
        <w:t> </w:t>
      </w:r>
      <w:r>
        <w:rPr>
          <w:w w:val="105"/>
        </w:rPr>
        <w:t>sta</w:t>
      </w:r>
      <w:r>
        <w:rPr>
          <w:w w:val="105"/>
        </w:rPr>
        <w:t>y</w:t>
      </w:r>
      <w:r>
        <w:rPr>
          <w:w w:val="105"/>
        </w:rPr>
        <w:t> </w:t>
      </w:r>
      <w:r>
        <w:rPr/>
        <w:t>below 22 hours unless weather closes mor</w:t>
      </w:r>
      <w:r>
        <w:rPr/>
        <w:t>e</w:t>
      </w:r>
      <w:r>
        <w:rPr/>
        <w:t> </w:t>
      </w:r>
      <w:r>
        <w:rPr>
          <w:w w:val="105"/>
        </w:rPr>
        <w:t>than one port at once.</w:t>
      </w:r>
    </w:p>
    <w:p>
      <w:pPr>
        <w:pStyle w:val="BodyText"/>
        <w:spacing w:before="8" w:after="1"/>
        <w:rPr>
          <w:sz w:val="18"/>
        </w:rPr>
      </w:pPr>
    </w:p>
    <w:tbl>
      <w:tblPr>
        <w:tblW w:w="0" w:type="auto"/>
        <w:jc w:val="left"/>
        <w:tblInd w:w="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2"/>
        <w:gridCol w:w="1684"/>
        <w:gridCol w:w="1213"/>
      </w:tblGrid>
      <w:tr>
        <w:trPr>
          <w:trHeight w:val="310" w:hRule="atLeast"/>
        </w:trPr>
        <w:tc>
          <w:tcPr>
            <w:tcW w:w="151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6" w:lineRule="exact" w:before="0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Port</w:t>
            </w:r>
          </w:p>
        </w:tc>
        <w:tc>
          <w:tcPr>
            <w:tcW w:w="168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6" w:lineRule="exact" w:before="0"/>
              <w:ind w:right="359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>Q3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TEU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(k)</w:t>
            </w:r>
          </w:p>
        </w:tc>
        <w:tc>
          <w:tcPr>
            <w:tcW w:w="121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6" w:lineRule="exact" w:before="0"/>
              <w:ind w:right="10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Change</w:t>
            </w:r>
          </w:p>
        </w:tc>
      </w:tr>
      <w:tr>
        <w:trPr>
          <w:trHeight w:val="619" w:hRule="atLeast"/>
        </w:trPr>
        <w:tc>
          <w:tcPr>
            <w:tcW w:w="1512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10" w:right="224"/>
              <w:rPr>
                <w:sz w:val="24"/>
              </w:rPr>
            </w:pPr>
            <w:r>
              <w:rPr>
                <w:spacing w:val="-4"/>
                <w:sz w:val="24"/>
              </w:rPr>
              <w:t>Ne</w:t>
            </w:r>
            <w:r>
              <w:rPr>
                <w:spacing w:val="-4"/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York/NJ</w:t>
            </w:r>
          </w:p>
        </w:tc>
        <w:tc>
          <w:tcPr>
            <w:tcW w:w="1684" w:type="dxa"/>
            <w:tcBorders>
              <w:top w:val="single" w:sz="6" w:space="0" w:color="000000"/>
            </w:tcBorders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2,214</w:t>
            </w:r>
          </w:p>
        </w:tc>
        <w:tc>
          <w:tcPr>
            <w:tcW w:w="1213" w:type="dxa"/>
            <w:tcBorders>
              <w:top w:val="single" w:sz="6" w:space="0" w:color="000000"/>
            </w:tcBorders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+3.2%</w:t>
            </w:r>
          </w:p>
        </w:tc>
      </w:tr>
      <w:tr>
        <w:trPr>
          <w:trHeight w:val="345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Savannah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1,412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+9.1%</w:t>
            </w:r>
          </w:p>
        </w:tc>
      </w:tr>
      <w:tr>
        <w:trPr>
          <w:trHeight w:val="346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Norfolk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+7.6%</w:t>
            </w:r>
          </w:p>
        </w:tc>
      </w:tr>
      <w:tr>
        <w:trPr>
          <w:trHeight w:val="346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Charleston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702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+8.4%</w:t>
            </w:r>
          </w:p>
        </w:tc>
      </w:tr>
      <w:tr>
        <w:trPr>
          <w:trHeight w:val="345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Baltimore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311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+1.9%</w:t>
            </w:r>
          </w:p>
        </w:tc>
      </w:tr>
      <w:tr>
        <w:trPr>
          <w:trHeight w:val="309" w:hRule="atLeast"/>
        </w:trPr>
        <w:tc>
          <w:tcPr>
            <w:tcW w:w="1512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Wilmington</w:t>
            </w:r>
          </w:p>
        </w:tc>
        <w:tc>
          <w:tcPr>
            <w:tcW w:w="1684" w:type="dxa"/>
          </w:tcPr>
          <w:p>
            <w:pPr>
              <w:pStyle w:val="TableParagraph"/>
              <w:spacing w:line="263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1213" w:type="dxa"/>
          </w:tcPr>
          <w:p>
            <w:pPr>
              <w:pStyle w:val="TableParagraph"/>
              <w:spacing w:line="263" w:lineRule="exact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+4.5%</w:t>
            </w:r>
          </w:p>
        </w:tc>
      </w:tr>
    </w:tbl>
    <w:sectPr>
      <w:type w:val="continuous"/>
      <w:pgSz w:w="12240" w:h="15840"/>
      <w:pgMar w:header="720" w:footer="994" w:top="1340" w:bottom="1180" w:left="1080" w:right="1080"/>
      <w:cols w:num="2" w:equalWidth="0">
        <w:col w:w="4742" w:space="208"/>
        <w:col w:w="51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Book Antiqua">
    <w:altName w:val="Book Antiqua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4720">
              <wp:simplePos x="0" y="0"/>
              <wp:positionH relativeFrom="page">
                <wp:posOffset>3605529</wp:posOffset>
              </wp:positionH>
              <wp:positionV relativeFrom="page">
                <wp:posOffset>9287782</wp:posOffset>
              </wp:positionV>
              <wp:extent cx="564515" cy="1993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451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2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2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16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3.899994pt;margin-top:731.321472pt;width:44.45pt;height:15.7pt;mso-position-horizontal-relative:page;mso-position-vertical-relative:page;z-index:-15861760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18"/>
                      </w:rPr>
                      <w:t>Page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fldChar w:fldCharType="begin"/>
                    </w:r>
                    <w:r>
                      <w:rPr>
                        <w:spacing w:val="-2"/>
                        <w:sz w:val="24"/>
                      </w:rPr>
                      <w:instrText> PAGE </w:instrText>
                    </w:r>
                    <w:r>
                      <w:rPr>
                        <w:spacing w:val="-2"/>
                        <w:sz w:val="24"/>
                      </w:rPr>
                      <w:fldChar w:fldCharType="separate"/>
                    </w:r>
                    <w:r>
                      <w:rPr>
                        <w:spacing w:val="-2"/>
                        <w:sz w:val="24"/>
                      </w:rPr>
                      <w:t>1</w:t>
                    </w:r>
                    <w:r>
                      <w:rPr>
                        <w:spacing w:val="-2"/>
                        <w:sz w:val="24"/>
                      </w:rPr>
                      <w:fldChar w:fldCharType="end"/>
                    </w:r>
                    <w:r>
                      <w:rPr>
                        <w:spacing w:val="-16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of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5744">
              <wp:simplePos x="0" y="0"/>
              <wp:positionH relativeFrom="page">
                <wp:posOffset>3605529</wp:posOffset>
              </wp:positionH>
              <wp:positionV relativeFrom="page">
                <wp:posOffset>9287782</wp:posOffset>
              </wp:positionV>
              <wp:extent cx="564515" cy="19939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56451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6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3.899994pt;margin-top:731.321472pt;width:44.45pt;height:15.7pt;mso-position-horizontal-relative:page;mso-position-vertical-relative:page;z-index:-15860736" type="#_x0000_t202" id="docshape1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18"/>
                      </w:rPr>
                      <w:t>Page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1</w:t>
                    </w:r>
                    <w:r>
                      <w:rPr>
                        <w:spacing w:val="-16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of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4208">
              <wp:simplePos x="0" y="0"/>
              <wp:positionH relativeFrom="page">
                <wp:posOffset>3824604</wp:posOffset>
              </wp:positionH>
              <wp:positionV relativeFrom="page">
                <wp:posOffset>444545</wp:posOffset>
              </wp:positionV>
              <wp:extent cx="3048635" cy="1562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048635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Master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Services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Agreement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·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Halvorsen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/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Brightwater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·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Confid7ential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1.149994pt;margin-top:35.003613pt;width:240.05pt;height:12.3pt;mso-position-horizontal-relative:page;mso-position-vertical-relative:page;z-index:-15862272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pacing w:val="-4"/>
                        <w:sz w:val="18"/>
                      </w:rPr>
                      <w:t>Master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Services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Agreement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·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Halvorsen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/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Brightwater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·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Confid7ential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5232">
              <wp:simplePos x="0" y="0"/>
              <wp:positionH relativeFrom="page">
                <wp:posOffset>4867909</wp:posOffset>
              </wp:positionH>
              <wp:positionV relativeFrom="page">
                <wp:posOffset>444545</wp:posOffset>
              </wp:positionV>
              <wp:extent cx="2004695" cy="15621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004695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Atlantic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Freight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Monitor</w:t>
                          </w:r>
                          <w:r>
                            <w:rPr>
                              <w:i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·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Quaarterly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3.299988pt;margin-top:35.003613pt;width:157.85pt;height:12.3pt;mso-position-horizontal-relative:page;mso-position-vertical-relative:page;z-index:-15861248" type="#_x0000_t202" id="docshape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pacing w:val="-6"/>
                        <w:sz w:val="18"/>
                      </w:rPr>
                      <w:t>Atlantic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Freight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Monitor</w:t>
                    </w:r>
                    <w:r>
                      <w:rPr>
                        <w:i/>
                        <w:spacing w:val="3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·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Quaarterly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82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082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4660"/>
        <w:spacing w:val="0"/>
        <w:w w:val="92"/>
        <w:sz w:val="40"/>
        <w:szCs w:val="4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8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87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80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87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1" w:hanging="720"/>
      <w:outlineLvl w:val="1"/>
    </w:pPr>
    <w:rPr>
      <w:rFonts w:ascii="Times New Roman" w:hAnsi="Times New Roman" w:eastAsia="Times New Roman" w:cs="Times New Roman"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44"/>
      <w:ind w:left="361"/>
      <w:outlineLvl w:val="2"/>
    </w:pPr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91"/>
      <w:ind w:left="470"/>
      <w:outlineLvl w:val="3"/>
    </w:pPr>
    <w:rPr>
      <w:rFonts w:ascii="Book Antiqua" w:hAnsi="Book Antiqua" w:eastAsia="Book Antiqua" w:cs="Book Antiqua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8"/>
      <w:ind w:left="1036"/>
    </w:pPr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1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6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2026-10-28T12:39:32Z</dcterms:created>
  <dcterms:modified xsi:type="dcterms:W3CDTF">2026-10-28T12:39:32Z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2026-10-28T00:00:00Z</vt:filetime>
  </property>
  <property fmtid="{D5CDD505-2E9C-101B-9397-08002B2CF9AE}" pid="4" name="LastSaved">
    <vt:filetime>2026-10-28T00:00:00Z</vt:filetime>
  </property>
  <property fmtid="{D5CDD505-2E9C-101B-9397-08002B2CF9AE}" pid="5" name="Producer">
    <vt:lpwstr>3-Heights(TM) PDF Security Shell 4.8.25.2 (http://www.pdf-tools.com)</vt:lpwstr>
  </property>
</Properties>
</file>